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86C0F" w14:textId="7B804B53" w:rsidR="00D36D65" w:rsidRDefault="00D36D65"/>
    <w:p w14:paraId="68D429CA" w14:textId="702F384C" w:rsidR="00D60949" w:rsidRDefault="00036BB5" w:rsidP="00D60949">
      <w:pPr>
        <w:ind w:left="1560"/>
      </w:pPr>
      <w:r>
        <w:rPr>
          <w:noProof/>
        </w:rPr>
        <w:drawing>
          <wp:anchor distT="0" distB="0" distL="114300" distR="114300" simplePos="0" relativeHeight="251658240" behindDoc="1" locked="0" layoutInCell="1" allowOverlap="1" wp14:anchorId="2AAEA217" wp14:editId="4BD06DAD">
            <wp:simplePos x="0" y="0"/>
            <wp:positionH relativeFrom="margin">
              <wp:posOffset>1309756</wp:posOffset>
            </wp:positionH>
            <wp:positionV relativeFrom="paragraph">
              <wp:posOffset>88900</wp:posOffset>
            </wp:positionV>
            <wp:extent cx="3307080" cy="1726295"/>
            <wp:effectExtent l="0" t="0" r="0" b="0"/>
            <wp:wrapNone/>
            <wp:docPr id="1478012678" name="Picture 1478012678"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012678" name="Picture 1478012678" descr="A black background with red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07080" cy="1726295"/>
                    </a:xfrm>
                    <a:prstGeom prst="rect">
                      <a:avLst/>
                    </a:prstGeom>
                  </pic:spPr>
                </pic:pic>
              </a:graphicData>
            </a:graphic>
            <wp14:sizeRelH relativeFrom="page">
              <wp14:pctWidth>0</wp14:pctWidth>
            </wp14:sizeRelH>
            <wp14:sizeRelV relativeFrom="page">
              <wp14:pctHeight>0</wp14:pctHeight>
            </wp14:sizeRelV>
          </wp:anchor>
        </w:drawing>
      </w:r>
    </w:p>
    <w:p w14:paraId="69F8FBF1" w14:textId="74049E06" w:rsidR="00D60949" w:rsidRDefault="00D60949"/>
    <w:p w14:paraId="113258C1" w14:textId="77777777" w:rsidR="00D60949" w:rsidRDefault="00D60949"/>
    <w:p w14:paraId="7B1904FD" w14:textId="77777777" w:rsidR="00D60949" w:rsidRDefault="00D60949"/>
    <w:p w14:paraId="254ED702" w14:textId="77777777" w:rsidR="00D60949" w:rsidRDefault="00D60949"/>
    <w:p w14:paraId="49C7D983" w14:textId="77777777" w:rsidR="00D60949" w:rsidRDefault="00D60949"/>
    <w:p w14:paraId="271EB804" w14:textId="77777777" w:rsidR="00D60949" w:rsidRDefault="00D60949" w:rsidP="00D60949">
      <w:pPr>
        <w:ind w:left="2127"/>
      </w:pPr>
    </w:p>
    <w:p w14:paraId="1AEC4EF5" w14:textId="77777777" w:rsidR="00D60949" w:rsidRDefault="00D60949"/>
    <w:p w14:paraId="1C0DCA72" w14:textId="77777777" w:rsidR="00D60949" w:rsidRDefault="00D60949"/>
    <w:p w14:paraId="55003C7E" w14:textId="77777777" w:rsidR="00D60949" w:rsidRDefault="00D60949"/>
    <w:tbl>
      <w:tblPr>
        <w:tblStyle w:val="a"/>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25"/>
        <w:gridCol w:w="4875"/>
      </w:tblGrid>
      <w:tr w:rsidR="00D36D65" w14:paraId="118579AB" w14:textId="77777777">
        <w:trPr>
          <w:trHeight w:val="420"/>
        </w:trPr>
        <w:tc>
          <w:tcPr>
            <w:tcW w:w="9000" w:type="dxa"/>
            <w:gridSpan w:val="2"/>
            <w:shd w:val="clear" w:color="auto" w:fill="F4CCCC"/>
            <w:tcMar>
              <w:top w:w="100" w:type="dxa"/>
              <w:left w:w="100" w:type="dxa"/>
              <w:bottom w:w="100" w:type="dxa"/>
              <w:right w:w="100" w:type="dxa"/>
            </w:tcMar>
          </w:tcPr>
          <w:p w14:paraId="4B76396A" w14:textId="77777777" w:rsidR="00D36D65" w:rsidRDefault="00A35730">
            <w:pPr>
              <w:widowControl w:val="0"/>
              <w:spacing w:line="240" w:lineRule="auto"/>
              <w:rPr>
                <w:b/>
              </w:rPr>
            </w:pPr>
            <w:r>
              <w:rPr>
                <w:b/>
              </w:rPr>
              <w:t>Policy document control box</w:t>
            </w:r>
          </w:p>
        </w:tc>
      </w:tr>
      <w:tr w:rsidR="00D36D65" w14:paraId="74C7C0D8" w14:textId="77777777">
        <w:tc>
          <w:tcPr>
            <w:tcW w:w="4125" w:type="dxa"/>
            <w:shd w:val="clear" w:color="auto" w:fill="auto"/>
            <w:tcMar>
              <w:top w:w="100" w:type="dxa"/>
              <w:left w:w="100" w:type="dxa"/>
              <w:bottom w:w="100" w:type="dxa"/>
              <w:right w:w="100" w:type="dxa"/>
            </w:tcMar>
          </w:tcPr>
          <w:p w14:paraId="489946A6" w14:textId="77777777" w:rsidR="00D36D65" w:rsidRDefault="00A35730">
            <w:pPr>
              <w:widowControl w:val="0"/>
              <w:spacing w:line="240" w:lineRule="auto"/>
            </w:pPr>
            <w:r>
              <w:t>Policy title</w:t>
            </w:r>
          </w:p>
        </w:tc>
        <w:tc>
          <w:tcPr>
            <w:tcW w:w="4875" w:type="dxa"/>
            <w:shd w:val="clear" w:color="auto" w:fill="auto"/>
            <w:tcMar>
              <w:top w:w="100" w:type="dxa"/>
              <w:left w:w="100" w:type="dxa"/>
              <w:bottom w:w="100" w:type="dxa"/>
              <w:right w:w="100" w:type="dxa"/>
            </w:tcMar>
          </w:tcPr>
          <w:p w14:paraId="3B382A9E" w14:textId="77777777" w:rsidR="00D36D65" w:rsidRDefault="00A35730">
            <w:pPr>
              <w:pStyle w:val="Heading3"/>
              <w:keepNext w:val="0"/>
              <w:keepLines w:val="0"/>
              <w:spacing w:before="0" w:after="0" w:line="240" w:lineRule="auto"/>
              <w:rPr>
                <w:b/>
                <w:color w:val="000000"/>
                <w:sz w:val="22"/>
                <w:szCs w:val="22"/>
              </w:rPr>
            </w:pPr>
            <w:bookmarkStart w:id="0" w:name="_1n1mu2y" w:colFirst="0" w:colLast="0"/>
            <w:bookmarkEnd w:id="0"/>
            <w:r>
              <w:rPr>
                <w:b/>
                <w:color w:val="000000"/>
                <w:sz w:val="22"/>
                <w:szCs w:val="22"/>
              </w:rPr>
              <w:t>Disability and Discrimination</w:t>
            </w:r>
          </w:p>
        </w:tc>
      </w:tr>
      <w:tr w:rsidR="00D36D65" w14:paraId="7B357AD2" w14:textId="77777777">
        <w:tc>
          <w:tcPr>
            <w:tcW w:w="4125" w:type="dxa"/>
            <w:shd w:val="clear" w:color="auto" w:fill="auto"/>
            <w:tcMar>
              <w:top w:w="100" w:type="dxa"/>
              <w:left w:w="100" w:type="dxa"/>
              <w:bottom w:w="100" w:type="dxa"/>
              <w:right w:w="100" w:type="dxa"/>
            </w:tcMar>
          </w:tcPr>
          <w:p w14:paraId="2E3E0951" w14:textId="77777777" w:rsidR="00D36D65" w:rsidRDefault="00A35730">
            <w:pPr>
              <w:widowControl w:val="0"/>
              <w:spacing w:line="240" w:lineRule="auto"/>
            </w:pPr>
            <w:r>
              <w:t>Policy owner (including job title)</w:t>
            </w:r>
          </w:p>
        </w:tc>
        <w:tc>
          <w:tcPr>
            <w:tcW w:w="4875" w:type="dxa"/>
            <w:shd w:val="clear" w:color="auto" w:fill="auto"/>
            <w:tcMar>
              <w:top w:w="100" w:type="dxa"/>
              <w:left w:w="100" w:type="dxa"/>
              <w:bottom w:w="100" w:type="dxa"/>
              <w:right w:w="100" w:type="dxa"/>
            </w:tcMar>
          </w:tcPr>
          <w:p w14:paraId="1CF8432B" w14:textId="49ECC260" w:rsidR="00D36D65" w:rsidRDefault="00D60949">
            <w:pPr>
              <w:widowControl w:val="0"/>
              <w:spacing w:line="240" w:lineRule="auto"/>
            </w:pPr>
            <w:r>
              <w:t>RBET</w:t>
            </w:r>
          </w:p>
        </w:tc>
      </w:tr>
      <w:tr w:rsidR="00D36D65" w14:paraId="43B8BC83" w14:textId="77777777">
        <w:tc>
          <w:tcPr>
            <w:tcW w:w="4125" w:type="dxa"/>
            <w:shd w:val="clear" w:color="auto" w:fill="auto"/>
            <w:tcMar>
              <w:top w:w="100" w:type="dxa"/>
              <w:left w:w="100" w:type="dxa"/>
              <w:bottom w:w="100" w:type="dxa"/>
              <w:right w:w="100" w:type="dxa"/>
            </w:tcMar>
          </w:tcPr>
          <w:p w14:paraId="4DB5BEF4" w14:textId="77777777" w:rsidR="00D36D65" w:rsidRDefault="00A35730">
            <w:pPr>
              <w:widowControl w:val="0"/>
              <w:spacing w:line="240" w:lineRule="auto"/>
            </w:pPr>
            <w:r>
              <w:t>Version</w:t>
            </w:r>
          </w:p>
        </w:tc>
        <w:tc>
          <w:tcPr>
            <w:tcW w:w="4875" w:type="dxa"/>
            <w:shd w:val="clear" w:color="auto" w:fill="auto"/>
            <w:tcMar>
              <w:top w:w="100" w:type="dxa"/>
              <w:left w:w="100" w:type="dxa"/>
              <w:bottom w:w="100" w:type="dxa"/>
              <w:right w:w="100" w:type="dxa"/>
            </w:tcMar>
          </w:tcPr>
          <w:p w14:paraId="506B6970" w14:textId="2D2DD013" w:rsidR="00D36D65" w:rsidRDefault="00A35730">
            <w:pPr>
              <w:widowControl w:val="0"/>
              <w:spacing w:line="240" w:lineRule="auto"/>
            </w:pPr>
            <w:r>
              <w:t>1</w:t>
            </w:r>
          </w:p>
        </w:tc>
      </w:tr>
      <w:tr w:rsidR="00D36D65" w14:paraId="681D8B6E" w14:textId="77777777">
        <w:tc>
          <w:tcPr>
            <w:tcW w:w="4125" w:type="dxa"/>
            <w:shd w:val="clear" w:color="auto" w:fill="auto"/>
            <w:tcMar>
              <w:top w:w="100" w:type="dxa"/>
              <w:left w:w="100" w:type="dxa"/>
              <w:bottom w:w="100" w:type="dxa"/>
              <w:right w:w="100" w:type="dxa"/>
            </w:tcMar>
          </w:tcPr>
          <w:p w14:paraId="2124CABA" w14:textId="0C20B773" w:rsidR="00D36D65" w:rsidRDefault="00A35730">
            <w:pPr>
              <w:widowControl w:val="0"/>
              <w:spacing w:line="240" w:lineRule="auto"/>
            </w:pPr>
            <w:r>
              <w:t xml:space="preserve">Approving body </w:t>
            </w:r>
          </w:p>
        </w:tc>
        <w:tc>
          <w:tcPr>
            <w:tcW w:w="4875" w:type="dxa"/>
            <w:shd w:val="clear" w:color="auto" w:fill="auto"/>
            <w:tcMar>
              <w:top w:w="100" w:type="dxa"/>
              <w:left w:w="100" w:type="dxa"/>
              <w:bottom w:w="100" w:type="dxa"/>
              <w:right w:w="100" w:type="dxa"/>
            </w:tcMar>
          </w:tcPr>
          <w:p w14:paraId="1B8212F2" w14:textId="4C72A6D2" w:rsidR="00D36D65" w:rsidRDefault="00A35730">
            <w:pPr>
              <w:widowControl w:val="0"/>
              <w:spacing w:line="240" w:lineRule="auto"/>
            </w:pPr>
            <w:r>
              <w:t>RBET Trustees</w:t>
            </w:r>
          </w:p>
        </w:tc>
      </w:tr>
      <w:tr w:rsidR="00D36D65" w14:paraId="7B34DDB8" w14:textId="77777777">
        <w:tc>
          <w:tcPr>
            <w:tcW w:w="4125" w:type="dxa"/>
            <w:shd w:val="clear" w:color="auto" w:fill="auto"/>
            <w:tcMar>
              <w:top w:w="100" w:type="dxa"/>
              <w:left w:w="100" w:type="dxa"/>
              <w:bottom w:w="100" w:type="dxa"/>
              <w:right w:w="100" w:type="dxa"/>
            </w:tcMar>
          </w:tcPr>
          <w:p w14:paraId="507AD9AB" w14:textId="77777777" w:rsidR="00D36D65" w:rsidRDefault="00A35730">
            <w:pPr>
              <w:widowControl w:val="0"/>
              <w:spacing w:line="240" w:lineRule="auto"/>
            </w:pPr>
            <w:r>
              <w:t>Date of meeting when version approved</w:t>
            </w:r>
          </w:p>
        </w:tc>
        <w:tc>
          <w:tcPr>
            <w:tcW w:w="4875" w:type="dxa"/>
            <w:shd w:val="clear" w:color="auto" w:fill="auto"/>
            <w:tcMar>
              <w:top w:w="100" w:type="dxa"/>
              <w:left w:w="100" w:type="dxa"/>
              <w:bottom w:w="100" w:type="dxa"/>
              <w:right w:w="100" w:type="dxa"/>
            </w:tcMar>
          </w:tcPr>
          <w:p w14:paraId="13FD65BE" w14:textId="5C2048BB" w:rsidR="00D36D65" w:rsidRDefault="00A35730">
            <w:pPr>
              <w:widowControl w:val="0"/>
              <w:spacing w:line="240" w:lineRule="auto"/>
            </w:pPr>
            <w:r>
              <w:t>5 June 2024</w:t>
            </w:r>
          </w:p>
        </w:tc>
      </w:tr>
      <w:tr w:rsidR="00D36D65" w14:paraId="25A95F95" w14:textId="77777777">
        <w:tc>
          <w:tcPr>
            <w:tcW w:w="4125" w:type="dxa"/>
            <w:shd w:val="clear" w:color="auto" w:fill="auto"/>
            <w:tcMar>
              <w:top w:w="100" w:type="dxa"/>
              <w:left w:w="100" w:type="dxa"/>
              <w:bottom w:w="100" w:type="dxa"/>
              <w:right w:w="100" w:type="dxa"/>
            </w:tcMar>
          </w:tcPr>
          <w:p w14:paraId="362AE8C9" w14:textId="77777777" w:rsidR="00D36D65" w:rsidRDefault="00A35730">
            <w:pPr>
              <w:widowControl w:val="0"/>
              <w:spacing w:line="240" w:lineRule="auto"/>
            </w:pPr>
            <w:r>
              <w:t>Date of next review</w:t>
            </w:r>
          </w:p>
        </w:tc>
        <w:tc>
          <w:tcPr>
            <w:tcW w:w="4875" w:type="dxa"/>
            <w:shd w:val="clear" w:color="auto" w:fill="auto"/>
            <w:tcMar>
              <w:top w:w="100" w:type="dxa"/>
              <w:left w:w="100" w:type="dxa"/>
              <w:bottom w:w="100" w:type="dxa"/>
              <w:right w:w="100" w:type="dxa"/>
            </w:tcMar>
          </w:tcPr>
          <w:p w14:paraId="2731341F" w14:textId="732F4ED1" w:rsidR="00D36D65" w:rsidRDefault="00A35730">
            <w:pPr>
              <w:widowControl w:val="0"/>
              <w:spacing w:line="240" w:lineRule="auto"/>
            </w:pPr>
            <w:r>
              <w:t>September 2025</w:t>
            </w:r>
          </w:p>
        </w:tc>
      </w:tr>
    </w:tbl>
    <w:p w14:paraId="6DC49431" w14:textId="77777777" w:rsidR="00D36D65" w:rsidRDefault="00D36D65"/>
    <w:p w14:paraId="29761D6E" w14:textId="77777777" w:rsidR="00D36D65" w:rsidRDefault="00D36D65"/>
    <w:tbl>
      <w:tblPr>
        <w:tblW w:w="91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8235"/>
        <w:gridCol w:w="885"/>
      </w:tblGrid>
      <w:tr w:rsidR="00D36D65" w14:paraId="27665741" w14:textId="77777777" w:rsidTr="0B3D8ED2">
        <w:tc>
          <w:tcPr>
            <w:tcW w:w="8235" w:type="dxa"/>
            <w:shd w:val="clear" w:color="auto" w:fill="F4CCCC"/>
            <w:tcMar>
              <w:top w:w="100" w:type="dxa"/>
              <w:left w:w="100" w:type="dxa"/>
              <w:bottom w:w="100" w:type="dxa"/>
              <w:right w:w="100" w:type="dxa"/>
            </w:tcMar>
          </w:tcPr>
          <w:p w14:paraId="3353C1BB" w14:textId="7C4168D4" w:rsidR="00D36D65" w:rsidRDefault="00A35730">
            <w:pPr>
              <w:widowControl w:val="0"/>
              <w:spacing w:line="240" w:lineRule="auto"/>
              <w:rPr>
                <w:b/>
              </w:rPr>
            </w:pPr>
            <w:r>
              <w:rPr>
                <w:b/>
              </w:rPr>
              <w:t>Policy contents</w:t>
            </w:r>
          </w:p>
        </w:tc>
        <w:tc>
          <w:tcPr>
            <w:tcW w:w="885" w:type="dxa"/>
            <w:shd w:val="clear" w:color="auto" w:fill="F4CCCC"/>
            <w:tcMar>
              <w:top w:w="100" w:type="dxa"/>
              <w:left w:w="100" w:type="dxa"/>
              <w:bottom w:w="100" w:type="dxa"/>
              <w:right w:w="100" w:type="dxa"/>
            </w:tcMar>
          </w:tcPr>
          <w:p w14:paraId="2F3BE253" w14:textId="77777777" w:rsidR="00D36D65" w:rsidRDefault="00D36D65">
            <w:pPr>
              <w:widowControl w:val="0"/>
              <w:spacing w:line="240" w:lineRule="auto"/>
              <w:rPr>
                <w:b/>
              </w:rPr>
            </w:pPr>
          </w:p>
        </w:tc>
      </w:tr>
      <w:tr w:rsidR="00D36D65" w14:paraId="253C71B6" w14:textId="77777777" w:rsidTr="0B3D8ED2">
        <w:trPr>
          <w:trHeight w:val="420"/>
        </w:trPr>
        <w:tc>
          <w:tcPr>
            <w:tcW w:w="8235" w:type="dxa"/>
            <w:shd w:val="clear" w:color="auto" w:fill="auto"/>
            <w:tcMar>
              <w:top w:w="100" w:type="dxa"/>
              <w:left w:w="100" w:type="dxa"/>
              <w:bottom w:w="100" w:type="dxa"/>
              <w:right w:w="100" w:type="dxa"/>
            </w:tcMar>
          </w:tcPr>
          <w:p w14:paraId="13F5C059" w14:textId="69823C4F" w:rsidR="00D36D65" w:rsidRDefault="00A35730" w:rsidP="0B3D8ED2">
            <w:pPr>
              <w:widowControl w:val="0"/>
              <w:numPr>
                <w:ilvl w:val="0"/>
                <w:numId w:val="17"/>
              </w:numPr>
              <w:tabs>
                <w:tab w:val="right" w:pos="8790"/>
              </w:tabs>
              <w:spacing w:line="240" w:lineRule="auto"/>
              <w:ind w:left="714" w:hanging="357"/>
            </w:pPr>
            <w:r>
              <w:t>Purpose</w:t>
            </w:r>
          </w:p>
          <w:p w14:paraId="7AB23738" w14:textId="5261A036" w:rsidR="00D36D65" w:rsidRDefault="00A35730" w:rsidP="0B3D8ED2">
            <w:pPr>
              <w:widowControl w:val="0"/>
              <w:numPr>
                <w:ilvl w:val="0"/>
                <w:numId w:val="17"/>
              </w:numPr>
              <w:tabs>
                <w:tab w:val="right" w:pos="8790"/>
              </w:tabs>
              <w:spacing w:line="240" w:lineRule="auto"/>
              <w:ind w:left="714" w:hanging="357"/>
            </w:pPr>
            <w:r>
              <w:t>Scope</w:t>
            </w:r>
          </w:p>
          <w:p w14:paraId="3AF85D17" w14:textId="3A9BC88C" w:rsidR="00D36D65" w:rsidRDefault="00A35730" w:rsidP="0B3D8ED2">
            <w:pPr>
              <w:widowControl w:val="0"/>
              <w:numPr>
                <w:ilvl w:val="0"/>
                <w:numId w:val="17"/>
              </w:numPr>
              <w:tabs>
                <w:tab w:val="right" w:pos="8790"/>
              </w:tabs>
              <w:spacing w:line="240" w:lineRule="auto"/>
              <w:ind w:left="714" w:hanging="357"/>
            </w:pPr>
            <w:r>
              <w:t>Policy statement, provision and safeguards</w:t>
            </w:r>
          </w:p>
          <w:p w14:paraId="65181E55" w14:textId="5700D93E" w:rsidR="00D36D65" w:rsidRDefault="00A35730">
            <w:pPr>
              <w:widowControl w:val="0"/>
              <w:numPr>
                <w:ilvl w:val="0"/>
                <w:numId w:val="17"/>
              </w:numPr>
              <w:spacing w:line="240" w:lineRule="auto"/>
              <w:ind w:left="714" w:hanging="357"/>
            </w:pPr>
            <w:r>
              <w:t>Definitions of ‘disability’ and subsequent prescribed practice that must inform R</w:t>
            </w:r>
            <w:r w:rsidR="007B6FF7">
              <w:t xml:space="preserve">BET-Aylesbury </w:t>
            </w:r>
            <w:r>
              <w:t>provision</w:t>
            </w:r>
            <w:r>
              <w:tab/>
            </w:r>
          </w:p>
          <w:p w14:paraId="6950A10E" w14:textId="77777777" w:rsidR="00D36D65" w:rsidRDefault="00A35730">
            <w:pPr>
              <w:widowControl w:val="0"/>
              <w:numPr>
                <w:ilvl w:val="0"/>
                <w:numId w:val="17"/>
              </w:numPr>
              <w:spacing w:line="240" w:lineRule="auto"/>
              <w:ind w:left="714" w:hanging="357"/>
            </w:pPr>
            <w:r>
              <w:t>Protection from discrimination</w:t>
            </w:r>
            <w:r>
              <w:tab/>
            </w:r>
          </w:p>
          <w:p w14:paraId="553F91CB" w14:textId="0A472422" w:rsidR="00D36D65" w:rsidRDefault="00A35730">
            <w:pPr>
              <w:widowControl w:val="0"/>
              <w:numPr>
                <w:ilvl w:val="0"/>
                <w:numId w:val="17"/>
              </w:numPr>
              <w:spacing w:line="240" w:lineRule="auto"/>
              <w:ind w:left="714" w:hanging="357"/>
            </w:pPr>
            <w:r>
              <w:t>Normal day-to-day activities</w:t>
            </w:r>
          </w:p>
          <w:p w14:paraId="02C8EE51" w14:textId="77777777" w:rsidR="00D36D65" w:rsidRDefault="00A35730">
            <w:pPr>
              <w:widowControl w:val="0"/>
              <w:numPr>
                <w:ilvl w:val="0"/>
                <w:numId w:val="17"/>
              </w:numPr>
              <w:spacing w:line="240" w:lineRule="auto"/>
              <w:ind w:left="714" w:hanging="357"/>
            </w:pPr>
            <w:r>
              <w:t>Direct discrimination</w:t>
            </w:r>
            <w:r>
              <w:tab/>
            </w:r>
          </w:p>
          <w:p w14:paraId="716B5D88" w14:textId="77777777" w:rsidR="00D36D65" w:rsidRDefault="00A35730">
            <w:pPr>
              <w:widowControl w:val="0"/>
              <w:numPr>
                <w:ilvl w:val="0"/>
                <w:numId w:val="17"/>
              </w:numPr>
              <w:spacing w:line="240" w:lineRule="auto"/>
              <w:ind w:left="714" w:hanging="357"/>
            </w:pPr>
            <w:r>
              <w:t>Indirect discrimination</w:t>
            </w:r>
            <w:r>
              <w:tab/>
            </w:r>
          </w:p>
          <w:p w14:paraId="3EF02EE2" w14:textId="77777777" w:rsidR="00D36D65" w:rsidRDefault="00A35730">
            <w:pPr>
              <w:widowControl w:val="0"/>
              <w:numPr>
                <w:ilvl w:val="0"/>
                <w:numId w:val="17"/>
              </w:numPr>
              <w:spacing w:line="240" w:lineRule="auto"/>
              <w:ind w:left="714" w:hanging="357"/>
            </w:pPr>
            <w:r>
              <w:t>Discrimination arising from disability</w:t>
            </w:r>
            <w:r>
              <w:tab/>
            </w:r>
          </w:p>
          <w:p w14:paraId="1F43640D" w14:textId="77777777" w:rsidR="00D36D65" w:rsidRDefault="00A35730">
            <w:pPr>
              <w:widowControl w:val="0"/>
              <w:numPr>
                <w:ilvl w:val="0"/>
                <w:numId w:val="17"/>
              </w:numPr>
              <w:spacing w:line="240" w:lineRule="auto"/>
              <w:ind w:left="714" w:hanging="357"/>
            </w:pPr>
            <w:r>
              <w:t>Harassment</w:t>
            </w:r>
            <w:r>
              <w:tab/>
            </w:r>
          </w:p>
          <w:p w14:paraId="7762194A" w14:textId="77777777" w:rsidR="00D36D65" w:rsidRDefault="00A35730">
            <w:pPr>
              <w:widowControl w:val="0"/>
              <w:numPr>
                <w:ilvl w:val="0"/>
                <w:numId w:val="17"/>
              </w:numPr>
              <w:spacing w:line="240" w:lineRule="auto"/>
              <w:ind w:left="714" w:hanging="357"/>
            </w:pPr>
            <w:r>
              <w:t>Reasonable adjustments</w:t>
            </w:r>
            <w:r>
              <w:tab/>
            </w:r>
          </w:p>
          <w:p w14:paraId="56AC4E9E" w14:textId="0B9C1BD0" w:rsidR="00D36D65" w:rsidRDefault="00A35730" w:rsidP="007B6FF7">
            <w:pPr>
              <w:widowControl w:val="0"/>
              <w:numPr>
                <w:ilvl w:val="0"/>
                <w:numId w:val="17"/>
              </w:numPr>
              <w:spacing w:line="240" w:lineRule="auto"/>
              <w:ind w:left="714" w:hanging="357"/>
            </w:pPr>
            <w:r>
              <w:t xml:space="preserve">Legislation and </w:t>
            </w:r>
            <w:r w:rsidR="00036BB5">
              <w:t>g</w:t>
            </w:r>
            <w:r>
              <w:t>uidance that inform this document</w:t>
            </w:r>
            <w:r>
              <w:tab/>
            </w:r>
          </w:p>
        </w:tc>
        <w:tc>
          <w:tcPr>
            <w:tcW w:w="885" w:type="dxa"/>
            <w:shd w:val="clear" w:color="auto" w:fill="auto"/>
            <w:tcMar>
              <w:top w:w="100" w:type="dxa"/>
              <w:left w:w="100" w:type="dxa"/>
              <w:bottom w:w="100" w:type="dxa"/>
              <w:right w:w="100" w:type="dxa"/>
            </w:tcMar>
          </w:tcPr>
          <w:p w14:paraId="2B50DA9E" w14:textId="56E88A3B" w:rsidR="00D36D65" w:rsidRDefault="007B6FF7" w:rsidP="007B6FF7">
            <w:pPr>
              <w:tabs>
                <w:tab w:val="right" w:pos="8790"/>
              </w:tabs>
              <w:spacing w:before="40" w:line="240" w:lineRule="auto"/>
              <w:ind w:left="714" w:hanging="357"/>
            </w:pPr>
            <w:r>
              <w:t>2</w:t>
            </w:r>
          </w:p>
          <w:p w14:paraId="57DFA35B" w14:textId="0A2DDC2F" w:rsidR="00D36D65" w:rsidRDefault="007B6FF7">
            <w:pPr>
              <w:tabs>
                <w:tab w:val="right" w:pos="8790"/>
              </w:tabs>
              <w:spacing w:line="240" w:lineRule="auto"/>
              <w:ind w:left="714" w:hanging="357"/>
            </w:pPr>
            <w:r>
              <w:t>2</w:t>
            </w:r>
          </w:p>
          <w:p w14:paraId="398AD099" w14:textId="5D265270" w:rsidR="00D36D65" w:rsidRDefault="007B6FF7">
            <w:pPr>
              <w:tabs>
                <w:tab w:val="right" w:pos="8790"/>
              </w:tabs>
              <w:spacing w:line="240" w:lineRule="auto"/>
              <w:ind w:left="714" w:hanging="357"/>
            </w:pPr>
            <w:r>
              <w:t>2</w:t>
            </w:r>
          </w:p>
          <w:p w14:paraId="1C7F0696" w14:textId="1D3242D3" w:rsidR="00D36D65" w:rsidRDefault="007B6FF7">
            <w:pPr>
              <w:tabs>
                <w:tab w:val="right" w:pos="8790"/>
              </w:tabs>
              <w:spacing w:line="240" w:lineRule="auto"/>
              <w:ind w:left="714" w:hanging="357"/>
            </w:pPr>
            <w:r>
              <w:t>3</w:t>
            </w:r>
          </w:p>
          <w:p w14:paraId="662B0D42" w14:textId="77777777" w:rsidR="007B6FF7" w:rsidRDefault="007B6FF7">
            <w:pPr>
              <w:tabs>
                <w:tab w:val="right" w:pos="8790"/>
              </w:tabs>
              <w:spacing w:line="240" w:lineRule="auto"/>
              <w:ind w:left="714" w:hanging="357"/>
            </w:pPr>
          </w:p>
          <w:p w14:paraId="5354EDCC" w14:textId="2C7D8383" w:rsidR="00D36D65" w:rsidRDefault="00A35730">
            <w:pPr>
              <w:tabs>
                <w:tab w:val="right" w:pos="8790"/>
              </w:tabs>
              <w:spacing w:line="240" w:lineRule="auto"/>
              <w:ind w:left="714" w:hanging="357"/>
            </w:pPr>
            <w:r>
              <w:t>3</w:t>
            </w:r>
          </w:p>
          <w:p w14:paraId="7C338219" w14:textId="77777777" w:rsidR="00D36D65" w:rsidRDefault="00A35730">
            <w:pPr>
              <w:tabs>
                <w:tab w:val="right" w:pos="8790"/>
              </w:tabs>
              <w:spacing w:line="240" w:lineRule="auto"/>
              <w:ind w:left="714" w:hanging="357"/>
            </w:pPr>
            <w:r>
              <w:t>4</w:t>
            </w:r>
          </w:p>
          <w:p w14:paraId="5F12F4DD" w14:textId="77777777" w:rsidR="00D36D65" w:rsidRDefault="00A35730">
            <w:pPr>
              <w:tabs>
                <w:tab w:val="right" w:pos="8790"/>
              </w:tabs>
              <w:spacing w:line="240" w:lineRule="auto"/>
              <w:ind w:left="714" w:hanging="357"/>
            </w:pPr>
            <w:r>
              <w:t>4</w:t>
            </w:r>
          </w:p>
          <w:p w14:paraId="75489ED2" w14:textId="77777777" w:rsidR="00D36D65" w:rsidRDefault="00A35730">
            <w:pPr>
              <w:tabs>
                <w:tab w:val="right" w:pos="8790"/>
              </w:tabs>
              <w:spacing w:line="240" w:lineRule="auto"/>
              <w:ind w:left="714" w:hanging="357"/>
            </w:pPr>
            <w:r>
              <w:t>4</w:t>
            </w:r>
          </w:p>
          <w:p w14:paraId="7E01C4A3" w14:textId="77777777" w:rsidR="00D36D65" w:rsidRDefault="00A35730">
            <w:pPr>
              <w:tabs>
                <w:tab w:val="right" w:pos="8790"/>
              </w:tabs>
              <w:spacing w:line="240" w:lineRule="auto"/>
              <w:ind w:left="714" w:hanging="357"/>
            </w:pPr>
            <w:r>
              <w:t>5</w:t>
            </w:r>
          </w:p>
          <w:p w14:paraId="24E1A637" w14:textId="77777777" w:rsidR="00D36D65" w:rsidRDefault="00A35730">
            <w:pPr>
              <w:tabs>
                <w:tab w:val="right" w:pos="8790"/>
              </w:tabs>
              <w:spacing w:line="240" w:lineRule="auto"/>
              <w:ind w:left="714" w:hanging="357"/>
            </w:pPr>
            <w:r>
              <w:t>5</w:t>
            </w:r>
          </w:p>
          <w:p w14:paraId="7FB24F56" w14:textId="77777777" w:rsidR="00D36D65" w:rsidRDefault="00A35730">
            <w:pPr>
              <w:tabs>
                <w:tab w:val="right" w:pos="8790"/>
              </w:tabs>
              <w:spacing w:line="240" w:lineRule="auto"/>
              <w:ind w:left="714" w:hanging="357"/>
            </w:pPr>
            <w:r>
              <w:t>5</w:t>
            </w:r>
          </w:p>
          <w:p w14:paraId="769AA1C1" w14:textId="77777777" w:rsidR="00D36D65" w:rsidRDefault="00A35730">
            <w:pPr>
              <w:tabs>
                <w:tab w:val="right" w:pos="8790"/>
              </w:tabs>
              <w:spacing w:line="240" w:lineRule="auto"/>
              <w:ind w:left="714" w:hanging="357"/>
            </w:pPr>
            <w:r>
              <w:t>5</w:t>
            </w:r>
          </w:p>
        </w:tc>
      </w:tr>
    </w:tbl>
    <w:p w14:paraId="1AE30BB1" w14:textId="77777777" w:rsidR="00D36D65" w:rsidRDefault="00A35730">
      <w:r>
        <w:br w:type="page"/>
      </w:r>
    </w:p>
    <w:p w14:paraId="13443E19" w14:textId="77777777" w:rsidR="00D36D65" w:rsidRDefault="00A35730" w:rsidP="00036BB5">
      <w:pPr>
        <w:spacing w:before="240" w:after="120"/>
        <w:rPr>
          <w:b/>
        </w:rPr>
      </w:pPr>
      <w:r>
        <w:rPr>
          <w:b/>
        </w:rPr>
        <w:lastRenderedPageBreak/>
        <w:t>Purpose</w:t>
      </w:r>
    </w:p>
    <w:p w14:paraId="3C0F12C9" w14:textId="24DD1882" w:rsidR="00D36D65" w:rsidRDefault="00A35730" w:rsidP="00036BB5">
      <w:pPr>
        <w:widowControl w:val="0"/>
        <w:spacing w:before="120"/>
        <w:ind w:right="-96"/>
      </w:pPr>
      <w:r>
        <w:rPr>
          <w:highlight w:val="white"/>
        </w:rPr>
        <w:t>Red Balloon strives to ensure that all young people, regardless of disability, gender, sexual preference or race</w:t>
      </w:r>
      <w:r w:rsidR="00036BB5">
        <w:rPr>
          <w:highlight w:val="white"/>
        </w:rPr>
        <w:t>,</w:t>
      </w:r>
      <w:r>
        <w:rPr>
          <w:highlight w:val="white"/>
        </w:rPr>
        <w:t xml:space="preserve"> are able to thrive and learn within its Centres. It acknowledges the legal requirements now placed upon it.</w:t>
      </w:r>
    </w:p>
    <w:p w14:paraId="0D0D0DE3" w14:textId="77777777" w:rsidR="00D36D65" w:rsidRDefault="00A35730" w:rsidP="00036BB5">
      <w:pPr>
        <w:spacing w:before="240" w:after="120"/>
        <w:rPr>
          <w:b/>
        </w:rPr>
      </w:pPr>
      <w:r>
        <w:rPr>
          <w:b/>
        </w:rPr>
        <w:t>Scope</w:t>
      </w:r>
    </w:p>
    <w:p w14:paraId="48DA755C" w14:textId="0315A1B2" w:rsidR="00D36D65" w:rsidRDefault="00A35730" w:rsidP="00036BB5">
      <w:pPr>
        <w:widowControl w:val="0"/>
        <w:spacing w:before="120"/>
        <w:ind w:right="-204"/>
      </w:pPr>
      <w:r>
        <w:rPr>
          <w:highlight w:val="white"/>
        </w:rPr>
        <w:t xml:space="preserve">It is the responsibility of everyone working at </w:t>
      </w:r>
      <w:r w:rsidR="00036BB5">
        <w:rPr>
          <w:highlight w:val="white"/>
        </w:rPr>
        <w:t>RBET-Aylesbury</w:t>
      </w:r>
      <w:r>
        <w:rPr>
          <w:highlight w:val="white"/>
        </w:rPr>
        <w:t xml:space="preserve"> to ensure that no member of the </w:t>
      </w:r>
      <w:r w:rsidR="00036BB5">
        <w:rPr>
          <w:highlight w:val="white"/>
        </w:rPr>
        <w:t>RBET-Aylesbury</w:t>
      </w:r>
      <w:r>
        <w:rPr>
          <w:highlight w:val="white"/>
        </w:rPr>
        <w:t xml:space="preserve"> community is ever discriminated against, and to promote positive attitudes towards any person who has a disability.  </w:t>
      </w:r>
    </w:p>
    <w:p w14:paraId="31C28EA6" w14:textId="637C977C" w:rsidR="00D36D65" w:rsidRDefault="00A35730" w:rsidP="00036BB5">
      <w:pPr>
        <w:spacing w:before="240" w:after="120"/>
        <w:rPr>
          <w:b/>
        </w:rPr>
      </w:pPr>
      <w:r>
        <w:rPr>
          <w:b/>
        </w:rPr>
        <w:t>Policy statement, provision and safeguards</w:t>
      </w:r>
    </w:p>
    <w:p w14:paraId="33CD1D39" w14:textId="0DC5D2DE" w:rsidR="00D36D65" w:rsidRDefault="00A35730" w:rsidP="00036BB5">
      <w:pPr>
        <w:tabs>
          <w:tab w:val="left" w:pos="-720"/>
          <w:tab w:val="left" w:pos="0"/>
        </w:tabs>
        <w:spacing w:before="120"/>
        <w:ind w:right="-57"/>
      </w:pPr>
      <w:r>
        <w:t xml:space="preserve">Since September 2002, every school has had three key duties towards disabled students (Part 4 of the DDA):   </w:t>
      </w:r>
    </w:p>
    <w:p w14:paraId="5EE6EB99" w14:textId="77777777" w:rsidR="00D36D65" w:rsidRDefault="00A35730" w:rsidP="00036BB5">
      <w:pPr>
        <w:numPr>
          <w:ilvl w:val="0"/>
          <w:numId w:val="15"/>
        </w:numPr>
        <w:spacing w:before="120"/>
        <w:ind w:left="924" w:hanging="357"/>
        <w:rPr>
          <w:sz w:val="20"/>
          <w:szCs w:val="20"/>
        </w:rPr>
      </w:pPr>
      <w:r>
        <w:t xml:space="preserve">not to treat disabled students less favourably than their peers for a reason related to their disability;  </w:t>
      </w:r>
    </w:p>
    <w:p w14:paraId="5BE928E4" w14:textId="77777777" w:rsidR="00D36D65" w:rsidRDefault="00A35730" w:rsidP="007B6FF7">
      <w:pPr>
        <w:numPr>
          <w:ilvl w:val="0"/>
          <w:numId w:val="25"/>
        </w:numPr>
        <w:ind w:left="924" w:hanging="357"/>
        <w:rPr>
          <w:sz w:val="20"/>
          <w:szCs w:val="20"/>
        </w:rPr>
      </w:pPr>
      <w:r>
        <w:t xml:space="preserve">to make reasonable adjustments for disabled students, so that they are not at a substantial disadvantage;   </w:t>
      </w:r>
    </w:p>
    <w:p w14:paraId="1AD2AAA4" w14:textId="77777777" w:rsidR="00D36D65" w:rsidRDefault="00A35730" w:rsidP="00036BB5">
      <w:pPr>
        <w:numPr>
          <w:ilvl w:val="0"/>
          <w:numId w:val="25"/>
        </w:numPr>
        <w:ind w:left="924" w:hanging="357"/>
        <w:rPr>
          <w:sz w:val="20"/>
          <w:szCs w:val="20"/>
        </w:rPr>
      </w:pPr>
      <w:r>
        <w:t xml:space="preserve">to plan to increase access to education for disabled students.   </w:t>
      </w:r>
    </w:p>
    <w:p w14:paraId="6F99B266" w14:textId="53BEC157" w:rsidR="00D36D65" w:rsidRDefault="00A35730" w:rsidP="00036BB5">
      <w:pPr>
        <w:shd w:val="clear" w:color="auto" w:fill="FFFFFF"/>
        <w:spacing w:before="120"/>
      </w:pPr>
      <w:r>
        <w:t xml:space="preserve">Schools are required to produce an ‘Accessibility Plan’ that identifies the action the school intends to take over a three year period to increase access for those with a disability in three key areas. This plan must be evaluated annually and made available either through publication or on the school website. </w:t>
      </w:r>
      <w:r w:rsidR="007B6FF7">
        <w:t>RBET-Aylesbury</w:t>
      </w:r>
      <w:r>
        <w:t xml:space="preserve"> will genera</w:t>
      </w:r>
      <w:r w:rsidR="007B6FF7">
        <w:t>t</w:t>
      </w:r>
      <w:r>
        <w:t xml:space="preserve">e its own plan.  </w:t>
      </w:r>
    </w:p>
    <w:p w14:paraId="765DE40B" w14:textId="77777777" w:rsidR="00D36D65" w:rsidRDefault="00A35730">
      <w:pPr>
        <w:shd w:val="clear" w:color="auto" w:fill="FFFFFF"/>
        <w:spacing w:line="300" w:lineRule="auto"/>
      </w:pPr>
      <w:r>
        <w:t xml:space="preserve">The three sections of that plan are:   </w:t>
      </w:r>
    </w:p>
    <w:p w14:paraId="0B0276E8" w14:textId="61B3AB7D" w:rsidR="00D36D65" w:rsidRDefault="00A35730" w:rsidP="007B6FF7">
      <w:pPr>
        <w:numPr>
          <w:ilvl w:val="0"/>
          <w:numId w:val="5"/>
        </w:numPr>
        <w:ind w:left="924" w:hanging="357"/>
        <w:rPr>
          <w:sz w:val="20"/>
          <w:szCs w:val="20"/>
        </w:rPr>
      </w:pPr>
      <w:r>
        <w:t xml:space="preserve">increasing the extent to which disabled pupils can participate in the </w:t>
      </w:r>
      <w:r w:rsidR="007B6FF7">
        <w:t xml:space="preserve">Centre’s </w:t>
      </w:r>
      <w:r>
        <w:t xml:space="preserve">curriculum;  </w:t>
      </w:r>
    </w:p>
    <w:p w14:paraId="78984DF6" w14:textId="6854CB45" w:rsidR="00D36D65" w:rsidRDefault="00A35730" w:rsidP="007B6FF7">
      <w:pPr>
        <w:numPr>
          <w:ilvl w:val="0"/>
          <w:numId w:val="5"/>
        </w:numPr>
        <w:ind w:left="924" w:hanging="357"/>
        <w:rPr>
          <w:sz w:val="20"/>
          <w:szCs w:val="20"/>
        </w:rPr>
      </w:pPr>
      <w:r>
        <w:t xml:space="preserve">improving the environment of the </w:t>
      </w:r>
      <w:r w:rsidR="007B6FF7">
        <w:t>Centre</w:t>
      </w:r>
      <w:r>
        <w:t xml:space="preserve"> to increase the extent to which disabled students can take advantage of education and associated services;  </w:t>
      </w:r>
    </w:p>
    <w:p w14:paraId="05F3D29A" w14:textId="77777777" w:rsidR="00D36D65" w:rsidRDefault="00A35730" w:rsidP="007B6FF7">
      <w:pPr>
        <w:numPr>
          <w:ilvl w:val="0"/>
          <w:numId w:val="5"/>
        </w:numPr>
        <w:ind w:left="924" w:hanging="357"/>
        <w:rPr>
          <w:sz w:val="20"/>
          <w:szCs w:val="20"/>
        </w:rPr>
      </w:pPr>
      <w:r>
        <w:t xml:space="preserve">improving the delivery to disabled students of information which is provided in writing for students who are not disabled.   </w:t>
      </w:r>
    </w:p>
    <w:p w14:paraId="2411A30B" w14:textId="77777777" w:rsidR="00D36D65" w:rsidRDefault="00A35730" w:rsidP="007B6FF7">
      <w:pPr>
        <w:shd w:val="clear" w:color="auto" w:fill="FFFFFF"/>
        <w:spacing w:before="120"/>
      </w:pPr>
      <w:r>
        <w:t xml:space="preserve">In addition, the Disability Equality Duty (2006) requires all schools to:   </w:t>
      </w:r>
    </w:p>
    <w:p w14:paraId="53A8B5A3" w14:textId="77777777" w:rsidR="00D36D65" w:rsidRDefault="00A35730" w:rsidP="007B6FF7">
      <w:pPr>
        <w:numPr>
          <w:ilvl w:val="0"/>
          <w:numId w:val="28"/>
        </w:numPr>
        <w:spacing w:before="120"/>
        <w:ind w:left="924" w:hanging="357"/>
        <w:rPr>
          <w:sz w:val="20"/>
          <w:szCs w:val="20"/>
        </w:rPr>
      </w:pPr>
      <w:r>
        <w:t xml:space="preserve">eliminate discrimination that is unlawful under the DDA;  </w:t>
      </w:r>
    </w:p>
    <w:p w14:paraId="0A4D037D" w14:textId="77777777" w:rsidR="00D36D65" w:rsidRDefault="00A35730" w:rsidP="007B6FF7">
      <w:pPr>
        <w:numPr>
          <w:ilvl w:val="0"/>
          <w:numId w:val="28"/>
        </w:numPr>
        <w:ind w:left="924" w:hanging="357"/>
        <w:rPr>
          <w:sz w:val="20"/>
          <w:szCs w:val="20"/>
        </w:rPr>
      </w:pPr>
      <w:r>
        <w:t xml:space="preserve">eliminate harassment of those with a disability;   </w:t>
      </w:r>
    </w:p>
    <w:p w14:paraId="478B7AA6" w14:textId="77777777" w:rsidR="00D36D65" w:rsidRDefault="00A35730" w:rsidP="007B6FF7">
      <w:pPr>
        <w:numPr>
          <w:ilvl w:val="0"/>
          <w:numId w:val="28"/>
        </w:numPr>
        <w:ind w:left="924" w:hanging="357"/>
        <w:rPr>
          <w:sz w:val="20"/>
          <w:szCs w:val="20"/>
        </w:rPr>
      </w:pPr>
      <w:r>
        <w:t xml:space="preserve">promote positive attitudes towards disabled persons;  </w:t>
      </w:r>
    </w:p>
    <w:p w14:paraId="4CECFA89" w14:textId="77777777" w:rsidR="00D36D65" w:rsidRDefault="00A35730" w:rsidP="007B6FF7">
      <w:pPr>
        <w:numPr>
          <w:ilvl w:val="0"/>
          <w:numId w:val="28"/>
        </w:numPr>
        <w:ind w:left="924" w:hanging="357"/>
        <w:rPr>
          <w:sz w:val="20"/>
          <w:szCs w:val="20"/>
        </w:rPr>
      </w:pPr>
      <w:r>
        <w:t xml:space="preserve">encourage participation by disabled individuals;  </w:t>
      </w:r>
    </w:p>
    <w:p w14:paraId="3A543781" w14:textId="77777777" w:rsidR="00D36D65" w:rsidRDefault="00A35730" w:rsidP="007B6FF7">
      <w:pPr>
        <w:numPr>
          <w:ilvl w:val="0"/>
          <w:numId w:val="10"/>
        </w:numPr>
        <w:ind w:left="924" w:hanging="357"/>
        <w:rPr>
          <w:sz w:val="20"/>
          <w:szCs w:val="20"/>
        </w:rPr>
      </w:pPr>
      <w:r>
        <w:t xml:space="preserve">take steps to take account of disabilities even if this involves treating disabled persons more favourably than their peers.   </w:t>
      </w:r>
    </w:p>
    <w:p w14:paraId="3FBCC0AC" w14:textId="61F3AEAD" w:rsidR="00D36D65" w:rsidRDefault="00A35730" w:rsidP="007B6FF7">
      <w:pPr>
        <w:shd w:val="clear" w:color="auto" w:fill="FFFFFF"/>
        <w:spacing w:before="120"/>
      </w:pPr>
      <w:r>
        <w:t xml:space="preserve">To fulfil </w:t>
      </w:r>
      <w:r w:rsidR="007B6FF7">
        <w:t>its</w:t>
      </w:r>
      <w:r>
        <w:t xml:space="preserve"> duties under the 2006 Act </w:t>
      </w:r>
      <w:r w:rsidR="007B6FF7">
        <w:t>the Centre</w:t>
      </w:r>
      <w:r>
        <w:t xml:space="preserve"> should involve those with a disability in producing a Disability Equality Scheme (DES) and Action Plan, and ensure that the scheme and plan are readily available.  Within the plan </w:t>
      </w:r>
      <w:r w:rsidR="007B6FF7">
        <w:t>the Centre</w:t>
      </w:r>
      <w:r>
        <w:t xml:space="preserve"> should:  </w:t>
      </w:r>
    </w:p>
    <w:p w14:paraId="47386831" w14:textId="77777777" w:rsidR="00D36D65" w:rsidRDefault="00A35730" w:rsidP="007B6FF7">
      <w:pPr>
        <w:numPr>
          <w:ilvl w:val="0"/>
          <w:numId w:val="30"/>
        </w:numPr>
        <w:spacing w:before="120"/>
        <w:ind w:left="924" w:hanging="357"/>
        <w:rPr>
          <w:sz w:val="20"/>
          <w:szCs w:val="20"/>
        </w:rPr>
      </w:pPr>
      <w:r>
        <w:t xml:space="preserve">identify desired outcomes;  </w:t>
      </w:r>
    </w:p>
    <w:p w14:paraId="5A01F43E" w14:textId="77777777" w:rsidR="00D36D65" w:rsidRDefault="00A35730" w:rsidP="007B6FF7">
      <w:pPr>
        <w:numPr>
          <w:ilvl w:val="0"/>
          <w:numId w:val="30"/>
        </w:numPr>
        <w:ind w:left="924" w:hanging="357"/>
        <w:rPr>
          <w:sz w:val="20"/>
          <w:szCs w:val="20"/>
        </w:rPr>
      </w:pPr>
      <w:r>
        <w:t xml:space="preserve">demonstrate action taken to achieve those outcomes;  </w:t>
      </w:r>
    </w:p>
    <w:p w14:paraId="1803E390" w14:textId="6B33038A" w:rsidR="00D36D65" w:rsidRDefault="00A35730" w:rsidP="007B6FF7">
      <w:pPr>
        <w:numPr>
          <w:ilvl w:val="0"/>
          <w:numId w:val="12"/>
        </w:numPr>
        <w:ind w:left="924" w:hanging="357"/>
        <w:rPr>
          <w:sz w:val="20"/>
          <w:szCs w:val="20"/>
        </w:rPr>
      </w:pPr>
      <w:r>
        <w:t xml:space="preserve">report annually on the progress made and review the scheme and plan in </w:t>
      </w:r>
      <w:r w:rsidR="007B6FF7">
        <w:t xml:space="preserve">the </w:t>
      </w:r>
      <w:r>
        <w:t xml:space="preserve">light of that progress.  </w:t>
      </w:r>
    </w:p>
    <w:p w14:paraId="683DDA82" w14:textId="6076DBB4" w:rsidR="00D36D65" w:rsidRDefault="00A35730" w:rsidP="007B6FF7">
      <w:pPr>
        <w:shd w:val="clear" w:color="auto" w:fill="FFFFFF"/>
        <w:spacing w:before="120"/>
        <w:ind w:left="567" w:firstLine="357"/>
      </w:pPr>
      <w:r>
        <w:rPr>
          <w:i/>
        </w:rPr>
        <w:lastRenderedPageBreak/>
        <w:t>Red Balloon Centres produce a three</w:t>
      </w:r>
      <w:r w:rsidR="007B6FF7">
        <w:rPr>
          <w:i/>
        </w:rPr>
        <w:t>-</w:t>
      </w:r>
      <w:r>
        <w:rPr>
          <w:i/>
        </w:rPr>
        <w:t xml:space="preserve">year plan and report annually against that plan. </w:t>
      </w:r>
    </w:p>
    <w:p w14:paraId="1939B092" w14:textId="0FAE23C7" w:rsidR="00D36D65" w:rsidRDefault="00A35730" w:rsidP="007B6FF7">
      <w:pPr>
        <w:spacing w:before="120"/>
      </w:pPr>
      <w:r>
        <w:t xml:space="preserve">Definitions of ‘disability’ and subsequent prescribed practice that must inform </w:t>
      </w:r>
      <w:r w:rsidR="007B6FF7">
        <w:t xml:space="preserve">RBET-Aylesbury </w:t>
      </w:r>
      <w:r>
        <w:t xml:space="preserve">provision  </w:t>
      </w:r>
    </w:p>
    <w:p w14:paraId="51C06123" w14:textId="77777777" w:rsidR="00D36D65" w:rsidRDefault="00A35730" w:rsidP="007B6FF7">
      <w:pPr>
        <w:shd w:val="clear" w:color="auto" w:fill="FFFFFF"/>
        <w:spacing w:before="120"/>
      </w:pPr>
      <w:r>
        <w:t xml:space="preserve">Under the Equality Act, there are nine protected characteristics:  </w:t>
      </w:r>
    </w:p>
    <w:p w14:paraId="5C5B56E7" w14:textId="77777777" w:rsidR="00D36D65" w:rsidRDefault="00A35730" w:rsidP="007B6FF7">
      <w:pPr>
        <w:numPr>
          <w:ilvl w:val="0"/>
          <w:numId w:val="23"/>
        </w:numPr>
        <w:spacing w:before="120"/>
        <w:ind w:left="1054" w:hanging="357"/>
        <w:rPr>
          <w:sz w:val="20"/>
          <w:szCs w:val="20"/>
        </w:rPr>
      </w:pPr>
      <w:r>
        <w:t xml:space="preserve">age,  </w:t>
      </w:r>
    </w:p>
    <w:p w14:paraId="3721B7EE" w14:textId="77777777" w:rsidR="00D36D65" w:rsidRDefault="00A35730" w:rsidP="007B6FF7">
      <w:pPr>
        <w:numPr>
          <w:ilvl w:val="0"/>
          <w:numId w:val="23"/>
        </w:numPr>
        <w:ind w:left="1060"/>
        <w:rPr>
          <w:sz w:val="20"/>
          <w:szCs w:val="20"/>
        </w:rPr>
      </w:pPr>
      <w:r>
        <w:t xml:space="preserve">disability,  </w:t>
      </w:r>
    </w:p>
    <w:p w14:paraId="239A0166" w14:textId="77777777" w:rsidR="00D36D65" w:rsidRDefault="00A35730" w:rsidP="007B6FF7">
      <w:pPr>
        <w:numPr>
          <w:ilvl w:val="0"/>
          <w:numId w:val="2"/>
        </w:numPr>
        <w:ind w:left="1060"/>
        <w:rPr>
          <w:sz w:val="20"/>
          <w:szCs w:val="20"/>
        </w:rPr>
      </w:pPr>
      <w:r>
        <w:t xml:space="preserve">gender reassignment,  </w:t>
      </w:r>
    </w:p>
    <w:p w14:paraId="66347B05" w14:textId="77777777" w:rsidR="00D36D65" w:rsidRDefault="00A35730" w:rsidP="007B6FF7">
      <w:pPr>
        <w:numPr>
          <w:ilvl w:val="0"/>
          <w:numId w:val="2"/>
        </w:numPr>
        <w:ind w:left="1060"/>
        <w:rPr>
          <w:sz w:val="20"/>
          <w:szCs w:val="20"/>
        </w:rPr>
      </w:pPr>
      <w:r>
        <w:t xml:space="preserve">marriage and civil partnership,  </w:t>
      </w:r>
    </w:p>
    <w:p w14:paraId="06606E46" w14:textId="77777777" w:rsidR="00D36D65" w:rsidRDefault="00A35730" w:rsidP="007B6FF7">
      <w:pPr>
        <w:numPr>
          <w:ilvl w:val="0"/>
          <w:numId w:val="2"/>
        </w:numPr>
        <w:ind w:left="1060"/>
        <w:rPr>
          <w:sz w:val="20"/>
          <w:szCs w:val="20"/>
        </w:rPr>
      </w:pPr>
      <w:r>
        <w:t xml:space="preserve">pregnancy and maternity,  </w:t>
      </w:r>
    </w:p>
    <w:p w14:paraId="3C7325C8" w14:textId="77777777" w:rsidR="00D36D65" w:rsidRDefault="00A35730" w:rsidP="007B6FF7">
      <w:pPr>
        <w:numPr>
          <w:ilvl w:val="0"/>
          <w:numId w:val="2"/>
        </w:numPr>
        <w:ind w:left="1060"/>
        <w:rPr>
          <w:sz w:val="20"/>
          <w:szCs w:val="20"/>
        </w:rPr>
      </w:pPr>
      <w:r>
        <w:t xml:space="preserve">race,  </w:t>
      </w:r>
    </w:p>
    <w:p w14:paraId="287D45E5" w14:textId="77777777" w:rsidR="00D36D65" w:rsidRDefault="00A35730" w:rsidP="007B6FF7">
      <w:pPr>
        <w:numPr>
          <w:ilvl w:val="0"/>
          <w:numId w:val="2"/>
        </w:numPr>
        <w:ind w:left="1060"/>
        <w:rPr>
          <w:sz w:val="20"/>
          <w:szCs w:val="20"/>
        </w:rPr>
      </w:pPr>
      <w:r>
        <w:t xml:space="preserve">religion or belief,  </w:t>
      </w:r>
    </w:p>
    <w:p w14:paraId="68EF2CAB" w14:textId="77777777" w:rsidR="00D36D65" w:rsidRDefault="00A35730" w:rsidP="007B6FF7">
      <w:pPr>
        <w:numPr>
          <w:ilvl w:val="0"/>
          <w:numId w:val="29"/>
        </w:numPr>
        <w:ind w:left="1060"/>
        <w:rPr>
          <w:sz w:val="20"/>
          <w:szCs w:val="20"/>
        </w:rPr>
      </w:pPr>
      <w:r>
        <w:t xml:space="preserve">sex.  </w:t>
      </w:r>
    </w:p>
    <w:p w14:paraId="7C91CB91" w14:textId="69206D9D" w:rsidR="00D36D65" w:rsidRDefault="00036BB5" w:rsidP="007F4365">
      <w:pPr>
        <w:shd w:val="clear" w:color="auto" w:fill="FFFFFF"/>
        <w:spacing w:before="120"/>
      </w:pPr>
      <w:r>
        <w:rPr>
          <w:highlight w:val="white"/>
        </w:rPr>
        <w:t>RBET-Aylesbury</w:t>
      </w:r>
      <w:r w:rsidR="00A35730">
        <w:t xml:space="preserve"> management will work to ensure that there is no discrimination whatsoever within any of the above characteristics.  </w:t>
      </w:r>
    </w:p>
    <w:p w14:paraId="003B6E32" w14:textId="77777777" w:rsidR="00D36D65" w:rsidRDefault="00A35730" w:rsidP="007F4365">
      <w:pPr>
        <w:shd w:val="clear" w:color="auto" w:fill="FFFFFF"/>
        <w:spacing w:before="120"/>
      </w:pPr>
      <w:r>
        <w:t xml:space="preserve">The definition of disability in the DDA (‘definition’ may be misleading but the Act identifies those students covered by the Act) is not the same as the definition for SEN. The DDA covers only those who have 'a physical or mental impairment which has a substantial and long term adverse effect on their ability to carry out normal day to day activities'. This definition is considered in detail in guidance produced by the Disability Rights Commission. The DDA also covers those with:  </w:t>
      </w:r>
    </w:p>
    <w:p w14:paraId="02FF12AA" w14:textId="77777777" w:rsidR="00D36D65" w:rsidRDefault="00A35730" w:rsidP="007F4365">
      <w:pPr>
        <w:numPr>
          <w:ilvl w:val="0"/>
          <w:numId w:val="21"/>
        </w:numPr>
        <w:spacing w:before="120"/>
        <w:ind w:left="924" w:hanging="357"/>
        <w:rPr>
          <w:sz w:val="20"/>
          <w:szCs w:val="20"/>
        </w:rPr>
      </w:pPr>
      <w:r>
        <w:t xml:space="preserve">severe disfigurements,  </w:t>
      </w:r>
    </w:p>
    <w:p w14:paraId="0E7BB477" w14:textId="77777777" w:rsidR="00D36D65" w:rsidRDefault="00A35730" w:rsidP="007F4365">
      <w:pPr>
        <w:numPr>
          <w:ilvl w:val="0"/>
          <w:numId w:val="20"/>
        </w:numPr>
        <w:spacing w:line="300" w:lineRule="auto"/>
        <w:ind w:left="924" w:hanging="357"/>
        <w:rPr>
          <w:sz w:val="20"/>
          <w:szCs w:val="20"/>
        </w:rPr>
      </w:pPr>
      <w:r>
        <w:t xml:space="preserve">impairments which are controlled or corrected by the use of medication, prostheses, or otherwise,  </w:t>
      </w:r>
    </w:p>
    <w:p w14:paraId="3AC6FDA1" w14:textId="77777777" w:rsidR="00D36D65" w:rsidRDefault="00A35730" w:rsidP="007F4365">
      <w:pPr>
        <w:numPr>
          <w:ilvl w:val="0"/>
          <w:numId w:val="20"/>
        </w:numPr>
        <w:spacing w:line="300" w:lineRule="auto"/>
        <w:ind w:left="924" w:hanging="357"/>
        <w:rPr>
          <w:sz w:val="20"/>
          <w:szCs w:val="20"/>
        </w:rPr>
      </w:pPr>
      <w:r>
        <w:t xml:space="preserve">progressive symptomatic conditions,   </w:t>
      </w:r>
    </w:p>
    <w:p w14:paraId="7EFCDD38" w14:textId="77777777" w:rsidR="00D36D65" w:rsidRDefault="00A35730" w:rsidP="007F4365">
      <w:pPr>
        <w:numPr>
          <w:ilvl w:val="0"/>
          <w:numId w:val="20"/>
        </w:numPr>
        <w:spacing w:line="300" w:lineRule="auto"/>
        <w:ind w:left="924" w:hanging="357"/>
        <w:rPr>
          <w:sz w:val="20"/>
          <w:szCs w:val="20"/>
        </w:rPr>
      </w:pPr>
      <w:r>
        <w:t xml:space="preserve">a history of impairment,   </w:t>
      </w:r>
    </w:p>
    <w:p w14:paraId="45BF99B1" w14:textId="77777777" w:rsidR="00D36D65" w:rsidRDefault="00A35730" w:rsidP="007F4365">
      <w:pPr>
        <w:numPr>
          <w:ilvl w:val="0"/>
          <w:numId w:val="20"/>
        </w:numPr>
        <w:spacing w:line="300" w:lineRule="auto"/>
        <w:ind w:left="924" w:hanging="357"/>
        <w:rPr>
          <w:sz w:val="20"/>
          <w:szCs w:val="20"/>
        </w:rPr>
      </w:pPr>
      <w:r>
        <w:t xml:space="preserve">cancer, HIV or multiple sclerosis.   </w:t>
      </w:r>
    </w:p>
    <w:p w14:paraId="6277E7F3" w14:textId="77777777" w:rsidR="00D36D65" w:rsidRDefault="00A35730" w:rsidP="007F4365">
      <w:pPr>
        <w:shd w:val="clear" w:color="auto" w:fill="FFFFFF"/>
        <w:spacing w:before="120"/>
      </w:pPr>
      <w:r>
        <w:t xml:space="preserve">The DDA does not cover addiction to or dependence on nicotine, tobacco or other non-prescribed drugs or substances, hay fever, or certain mental illnesses that have anti-social consequences. Accordingly, it might be possible for a student to have special educational needs, but not be disabled for the purposes of the DDA, and vice versa (although the majority of disabled students will also have special educational needs).  </w:t>
      </w:r>
    </w:p>
    <w:p w14:paraId="7F72CD61" w14:textId="6AB2A6FC" w:rsidR="00D36D65" w:rsidRDefault="00A35730" w:rsidP="00036BB5">
      <w:pPr>
        <w:spacing w:before="240" w:after="120"/>
        <w:rPr>
          <w:b/>
        </w:rPr>
      </w:pPr>
      <w:r>
        <w:rPr>
          <w:b/>
        </w:rPr>
        <w:t>Protection from discrimination</w:t>
      </w:r>
    </w:p>
    <w:p w14:paraId="723E019D" w14:textId="77777777" w:rsidR="00D36D65" w:rsidRDefault="00A35730">
      <w:pPr>
        <w:shd w:val="clear" w:color="auto" w:fill="FFFFFF"/>
        <w:spacing w:line="300" w:lineRule="auto"/>
      </w:pPr>
      <w:r>
        <w:t xml:space="preserve">A student who is disabled is protected from discrimination in two ways:  </w:t>
      </w:r>
    </w:p>
    <w:p w14:paraId="4FD0DC25" w14:textId="77777777" w:rsidR="00D36D65" w:rsidRDefault="00A35730" w:rsidP="007F4365">
      <w:pPr>
        <w:numPr>
          <w:ilvl w:val="0"/>
          <w:numId w:val="1"/>
        </w:numPr>
        <w:ind w:left="1037" w:hanging="357"/>
        <w:rPr>
          <w:sz w:val="20"/>
          <w:szCs w:val="20"/>
        </w:rPr>
      </w:pPr>
      <w:r>
        <w:t xml:space="preserve">They are entitled not to be treated less favourably than a non-disabled student for a reason relating to their disability.  </w:t>
      </w:r>
    </w:p>
    <w:p w14:paraId="1A9A57E0" w14:textId="77777777" w:rsidR="00D36D65" w:rsidRDefault="00A35730" w:rsidP="007F4365">
      <w:pPr>
        <w:numPr>
          <w:ilvl w:val="0"/>
          <w:numId w:val="8"/>
        </w:numPr>
        <w:ind w:left="1037" w:hanging="357"/>
        <w:rPr>
          <w:sz w:val="20"/>
          <w:szCs w:val="20"/>
        </w:rPr>
      </w:pPr>
      <w:r>
        <w:t xml:space="preserve">They are entitled to have reasonable adjustments made with respect to admission arrangements or in the provision of education and associated services, to prevent them being placed at a substantial disadvantage, unless the refusal to make those adjustments is justified.  </w:t>
      </w:r>
    </w:p>
    <w:p w14:paraId="2E29FD73" w14:textId="77777777" w:rsidR="00D36D65" w:rsidRDefault="00A35730" w:rsidP="007F4365">
      <w:pPr>
        <w:shd w:val="clear" w:color="auto" w:fill="FFFFFF"/>
        <w:spacing w:before="120"/>
      </w:pPr>
      <w:r>
        <w:t xml:space="preserve">Such adjustments may be to policies, practices, or procedures of a school, but generally will not include adjusting premises (such as putting in ramps, lifts etc), nor will they usually include providing additional staff or equipment. Although these kinds of adjustments are </w:t>
      </w:r>
      <w:r>
        <w:lastRenderedPageBreak/>
        <w:t xml:space="preserve">covered in other parts of the DDA, they are expressly excluded from the schools’ part of the DDA since it is generally intended that additional staff or equipment should be obtained through the SEN route and, at present, it would be too financially burdensome on schools to have an obligation to undertake rebuilding.  </w:t>
      </w:r>
    </w:p>
    <w:p w14:paraId="1BECECC9" w14:textId="77777777" w:rsidR="00D36D65" w:rsidRDefault="00A35730" w:rsidP="007F4365">
      <w:pPr>
        <w:shd w:val="clear" w:color="auto" w:fill="FFFFFF"/>
        <w:spacing w:before="120"/>
      </w:pPr>
      <w:r>
        <w:t>The ​</w:t>
      </w:r>
      <w:r>
        <w:rPr>
          <w:i/>
        </w:rPr>
        <w:t>Equality Act 2010</w:t>
      </w:r>
      <w:r>
        <w:rPr>
          <w:sz w:val="23"/>
          <w:szCs w:val="23"/>
        </w:rPr>
        <w:t>​</w:t>
      </w:r>
      <w:r>
        <w:t xml:space="preserve"> describes a disabled person as follows:  </w:t>
      </w:r>
    </w:p>
    <w:p w14:paraId="6B44A3D9" w14:textId="77777777" w:rsidR="00D36D65" w:rsidRDefault="00A35730">
      <w:pPr>
        <w:shd w:val="clear" w:color="auto" w:fill="FFFFFF"/>
        <w:spacing w:line="300" w:lineRule="auto"/>
        <w:ind w:left="580"/>
      </w:pPr>
      <w:r>
        <w:t xml:space="preserve">“A person (P) has a disability if –   </w:t>
      </w:r>
    </w:p>
    <w:p w14:paraId="434EAAF3" w14:textId="77777777" w:rsidR="00D36D65" w:rsidRDefault="00A35730">
      <w:pPr>
        <w:numPr>
          <w:ilvl w:val="0"/>
          <w:numId w:val="13"/>
        </w:numPr>
        <w:spacing w:line="300" w:lineRule="auto"/>
        <w:ind w:left="1300"/>
        <w:rPr>
          <w:sz w:val="20"/>
          <w:szCs w:val="20"/>
        </w:rPr>
      </w:pPr>
      <w:r>
        <w:t xml:space="preserve">P has a physical or mental impairment, and  </w:t>
      </w:r>
    </w:p>
    <w:p w14:paraId="107C65BE" w14:textId="012FEB99" w:rsidR="00D36D65" w:rsidRPr="007F4365" w:rsidRDefault="00A35730" w:rsidP="007F4365">
      <w:pPr>
        <w:numPr>
          <w:ilvl w:val="0"/>
          <w:numId w:val="18"/>
        </w:numPr>
        <w:spacing w:line="300" w:lineRule="auto"/>
        <w:ind w:left="1300"/>
        <w:rPr>
          <w:sz w:val="20"/>
          <w:szCs w:val="20"/>
        </w:rPr>
      </w:pPr>
      <w:r>
        <w:t xml:space="preserve">the impairment has a substantial and long-term adverse effect on P’s ability to carry out normal day-to-day activities.”  </w:t>
      </w:r>
    </w:p>
    <w:p w14:paraId="0F57EB70" w14:textId="77777777" w:rsidR="00D36D65" w:rsidRDefault="00A35730">
      <w:pPr>
        <w:shd w:val="clear" w:color="auto" w:fill="FFFFFF"/>
        <w:spacing w:line="300" w:lineRule="auto"/>
      </w:pPr>
      <w:r>
        <w:t xml:space="preserve">The following definitions of each of the terms used in this description offer guidance to help determine whether a person is disabled or not:  </w:t>
      </w:r>
    </w:p>
    <w:p w14:paraId="3AEFF11E" w14:textId="77777777" w:rsidR="00D36D65" w:rsidRDefault="00A35730" w:rsidP="007F4365">
      <w:pPr>
        <w:numPr>
          <w:ilvl w:val="0"/>
          <w:numId w:val="24"/>
        </w:numPr>
        <w:spacing w:before="120"/>
        <w:ind w:left="924" w:hanging="357"/>
      </w:pPr>
      <w:r>
        <w:rPr>
          <w:i/>
        </w:rPr>
        <w:t>Physical impairment</w:t>
      </w:r>
      <w:r>
        <w:rPr>
          <w:sz w:val="23"/>
          <w:szCs w:val="23"/>
        </w:rPr>
        <w:t>​</w:t>
      </w:r>
      <w:r>
        <w:t xml:space="preserve"> - includes sensory difficulties such as visual or hearing impairments.  </w:t>
      </w:r>
    </w:p>
    <w:p w14:paraId="2201E60A" w14:textId="77777777" w:rsidR="00D36D65" w:rsidRDefault="00A35730" w:rsidP="007F4365">
      <w:pPr>
        <w:numPr>
          <w:ilvl w:val="0"/>
          <w:numId w:val="24"/>
        </w:numPr>
        <w:ind w:left="924" w:hanging="357"/>
      </w:pPr>
      <w:r>
        <w:rPr>
          <w:i/>
        </w:rPr>
        <w:t>Mental impairment</w:t>
      </w:r>
      <w:r>
        <w:rPr>
          <w:sz w:val="23"/>
          <w:szCs w:val="23"/>
        </w:rPr>
        <w:t>​</w:t>
      </w:r>
      <w:r>
        <w:t xml:space="preserve"> - includes learning difficulties, autism, dyslexia, speech and language difficulties, attention deficit hyperactivity disorder (ADHD).  </w:t>
      </w:r>
    </w:p>
    <w:p w14:paraId="3DE2D4D1" w14:textId="77777777" w:rsidR="00D36D65" w:rsidRDefault="00A35730" w:rsidP="007F4365">
      <w:pPr>
        <w:numPr>
          <w:ilvl w:val="0"/>
          <w:numId w:val="26"/>
        </w:numPr>
        <w:ind w:left="924" w:hanging="357"/>
      </w:pPr>
      <w:r>
        <w:rPr>
          <w:i/>
        </w:rPr>
        <w:t>Substantial</w:t>
      </w:r>
      <w:r>
        <w:rPr>
          <w:sz w:val="23"/>
          <w:szCs w:val="23"/>
        </w:rPr>
        <w:t>​</w:t>
      </w:r>
      <w:r>
        <w:t xml:space="preserve"> - means more than minor or trivial, but it may helpfully be thought of as meaning 'having some substance'.  </w:t>
      </w:r>
    </w:p>
    <w:p w14:paraId="420B1ED5" w14:textId="77777777" w:rsidR="00D36D65" w:rsidRDefault="00A35730" w:rsidP="007F4365">
      <w:pPr>
        <w:numPr>
          <w:ilvl w:val="0"/>
          <w:numId w:val="26"/>
        </w:numPr>
        <w:ind w:left="924" w:hanging="357"/>
      </w:pPr>
      <w:r>
        <w:rPr>
          <w:i/>
        </w:rPr>
        <w:t>Long-term</w:t>
      </w:r>
      <w:r>
        <w:rPr>
          <w:sz w:val="23"/>
          <w:szCs w:val="23"/>
        </w:rPr>
        <w:t>​</w:t>
      </w:r>
      <w:r>
        <w:t xml:space="preserve"> - includes those who have an impairment that:   </w:t>
      </w:r>
    </w:p>
    <w:p w14:paraId="3FAAA11A" w14:textId="77777777" w:rsidR="00D36D65" w:rsidRDefault="00A35730" w:rsidP="007F4365">
      <w:pPr>
        <w:shd w:val="clear" w:color="auto" w:fill="FFFFFF"/>
        <w:ind w:left="1491" w:right="3198" w:hanging="357"/>
      </w:pPr>
      <w:r>
        <w:t>o</w:t>
      </w:r>
      <w:r>
        <w:tab/>
        <w:t xml:space="preserve">has lasted 12 months or more,  </w:t>
      </w:r>
    </w:p>
    <w:p w14:paraId="0FF3467A" w14:textId="77777777" w:rsidR="00D36D65" w:rsidRDefault="00A35730" w:rsidP="007F4365">
      <w:pPr>
        <w:shd w:val="clear" w:color="auto" w:fill="FFFFFF"/>
        <w:ind w:left="1491" w:right="3198" w:hanging="357"/>
      </w:pPr>
      <w:r>
        <w:t>o</w:t>
      </w:r>
      <w:r>
        <w:tab/>
        <w:t xml:space="preserve">is likely to last 12 months or more.   </w:t>
      </w:r>
    </w:p>
    <w:p w14:paraId="02E37C9B" w14:textId="51B4851C" w:rsidR="00D36D65" w:rsidRDefault="00A35730" w:rsidP="007F4365">
      <w:pPr>
        <w:shd w:val="clear" w:color="auto" w:fill="FFFFFF"/>
        <w:spacing w:before="120"/>
      </w:pPr>
      <w:r>
        <w:t xml:space="preserve">So while </w:t>
      </w:r>
      <w:r w:rsidR="00CA54DC">
        <w:t>2</w:t>
      </w:r>
      <w:r>
        <w:t xml:space="preserve">an autistic spectrum disorder (ASD) is a lifelong condition, impairments such as a broken leg, which would be expected to heal in less than a year, would not be covered.   </w:t>
      </w:r>
    </w:p>
    <w:p w14:paraId="6C300851" w14:textId="77777777" w:rsidR="00D36D65" w:rsidRDefault="00A35730">
      <w:pPr>
        <w:shd w:val="clear" w:color="auto" w:fill="FFFFFF"/>
        <w:spacing w:line="300" w:lineRule="auto"/>
        <w:ind w:left="-20"/>
      </w:pPr>
      <w:r>
        <w:rPr>
          <w:u w:val="single"/>
        </w:rPr>
        <w:t>Normal day-to-day activities.</w:t>
      </w:r>
      <w:r>
        <w:t xml:space="preserve">  </w:t>
      </w:r>
    </w:p>
    <w:p w14:paraId="09BC0C9C" w14:textId="77777777" w:rsidR="00D36D65" w:rsidRDefault="00A35730">
      <w:pPr>
        <w:shd w:val="clear" w:color="auto" w:fill="FFFFFF"/>
        <w:spacing w:line="300" w:lineRule="auto"/>
      </w:pPr>
      <w:r>
        <w:t xml:space="preserve">These are not listed in the Equality Act. They include activities that people carry out often and regularly such as:  </w:t>
      </w:r>
    </w:p>
    <w:p w14:paraId="0E3C668F" w14:textId="77777777" w:rsidR="00D36D65" w:rsidRDefault="00A35730">
      <w:pPr>
        <w:numPr>
          <w:ilvl w:val="0"/>
          <w:numId w:val="4"/>
        </w:numPr>
        <w:spacing w:line="300" w:lineRule="auto"/>
        <w:ind w:left="1060"/>
        <w:rPr>
          <w:sz w:val="20"/>
          <w:szCs w:val="20"/>
        </w:rPr>
      </w:pPr>
      <w:r>
        <w:t xml:space="preserve">mobility (eg moving around, getting to and from school, moving about the school or going on school visits);  </w:t>
      </w:r>
    </w:p>
    <w:p w14:paraId="3E374408" w14:textId="77777777" w:rsidR="00D36D65" w:rsidRDefault="00A35730">
      <w:pPr>
        <w:numPr>
          <w:ilvl w:val="0"/>
          <w:numId w:val="4"/>
        </w:numPr>
        <w:spacing w:line="300" w:lineRule="auto"/>
        <w:ind w:left="1060"/>
        <w:rPr>
          <w:sz w:val="20"/>
          <w:szCs w:val="20"/>
        </w:rPr>
      </w:pPr>
      <w:r>
        <w:t xml:space="preserve">manual dexterity (eg holding a pen, pencil or book, using tools in design and technology, playing a musical instrument, throwing and catching a ball);   </w:t>
      </w:r>
    </w:p>
    <w:p w14:paraId="6939B6B4" w14:textId="77777777" w:rsidR="00D36D65" w:rsidRDefault="00A35730">
      <w:pPr>
        <w:numPr>
          <w:ilvl w:val="0"/>
          <w:numId w:val="4"/>
        </w:numPr>
        <w:spacing w:line="300" w:lineRule="auto"/>
        <w:ind w:left="1060"/>
        <w:rPr>
          <w:sz w:val="20"/>
          <w:szCs w:val="20"/>
        </w:rPr>
      </w:pPr>
      <w:r>
        <w:t xml:space="preserve">physical coordination (eg washing or dressing, taking part in games and physical education); </w:t>
      </w:r>
    </w:p>
    <w:p w14:paraId="66230263" w14:textId="77777777" w:rsidR="00D36D65" w:rsidRDefault="00A35730">
      <w:pPr>
        <w:numPr>
          <w:ilvl w:val="0"/>
          <w:numId w:val="4"/>
        </w:numPr>
        <w:spacing w:line="300" w:lineRule="auto"/>
        <w:ind w:left="1060"/>
        <w:rPr>
          <w:sz w:val="20"/>
          <w:szCs w:val="20"/>
        </w:rPr>
      </w:pPr>
      <w:r>
        <w:t xml:space="preserve">continence (eg adult support for toileting); </w:t>
      </w:r>
    </w:p>
    <w:p w14:paraId="681F787D" w14:textId="77777777" w:rsidR="00D36D65" w:rsidRDefault="00A35730">
      <w:pPr>
        <w:numPr>
          <w:ilvl w:val="0"/>
          <w:numId w:val="6"/>
        </w:numPr>
        <w:spacing w:line="300" w:lineRule="auto"/>
        <w:ind w:left="1060"/>
        <w:rPr>
          <w:sz w:val="20"/>
          <w:szCs w:val="20"/>
        </w:rPr>
      </w:pPr>
      <w:r>
        <w:t xml:space="preserve">ability to lift, carry or move everyday objects (eg carrying a full school bag or other fairly heavy items); </w:t>
      </w:r>
    </w:p>
    <w:p w14:paraId="1A5E3C2A" w14:textId="77777777" w:rsidR="00D36D65" w:rsidRDefault="00A35730">
      <w:pPr>
        <w:numPr>
          <w:ilvl w:val="0"/>
          <w:numId w:val="6"/>
        </w:numPr>
        <w:spacing w:line="300" w:lineRule="auto"/>
        <w:ind w:left="1060"/>
        <w:rPr>
          <w:sz w:val="20"/>
          <w:szCs w:val="20"/>
        </w:rPr>
      </w:pPr>
      <w:r>
        <w:t xml:space="preserve">using speech, hearing or eyesight (eg communicating with others or understanding what others are saying), hearing what class teacher is saying, the ability to see clearly (with spectacles or contact lenses where necessary);   </w:t>
      </w:r>
    </w:p>
    <w:p w14:paraId="2C36C830" w14:textId="77777777" w:rsidR="00D36D65" w:rsidRDefault="00A35730">
      <w:pPr>
        <w:numPr>
          <w:ilvl w:val="0"/>
          <w:numId w:val="6"/>
        </w:numPr>
        <w:spacing w:line="300" w:lineRule="auto"/>
        <w:ind w:left="1060"/>
        <w:rPr>
          <w:sz w:val="20"/>
          <w:szCs w:val="20"/>
        </w:rPr>
      </w:pPr>
      <w:r>
        <w:t xml:space="preserve">memory or ability to concentrate, learn or understand (eg work in school including reading, writing, number work or understanding information); </w:t>
      </w:r>
    </w:p>
    <w:p w14:paraId="4CAAA45E" w14:textId="77777777" w:rsidR="00D36D65" w:rsidRDefault="00A35730">
      <w:pPr>
        <w:numPr>
          <w:ilvl w:val="0"/>
          <w:numId w:val="6"/>
        </w:numPr>
        <w:spacing w:line="300" w:lineRule="auto"/>
        <w:ind w:left="1060"/>
        <w:rPr>
          <w:sz w:val="20"/>
          <w:szCs w:val="20"/>
        </w:rPr>
      </w:pPr>
      <w:r>
        <w:t xml:space="preserve">understanding the risk of physical danger, inability to recognise danger (eg when jumping from a height, touching hot objects or crossing roads).   </w:t>
      </w:r>
    </w:p>
    <w:p w14:paraId="49707633" w14:textId="77777777" w:rsidR="00D36D65" w:rsidRDefault="00A35730">
      <w:pPr>
        <w:shd w:val="clear" w:color="auto" w:fill="FFFFFF"/>
        <w:spacing w:line="300" w:lineRule="auto"/>
      </w:pPr>
      <w:r>
        <w:t xml:space="preserve">  </w:t>
      </w:r>
    </w:p>
    <w:p w14:paraId="7A736A60" w14:textId="77777777" w:rsidR="00D36D65" w:rsidRDefault="00A35730">
      <w:pPr>
        <w:shd w:val="clear" w:color="auto" w:fill="FFFFFF"/>
        <w:spacing w:line="300" w:lineRule="auto"/>
      </w:pPr>
      <w:r>
        <w:t xml:space="preserve">Schools / providers should give careful consideration to all the above ‘areas’.  </w:t>
      </w:r>
    </w:p>
    <w:p w14:paraId="38C4DBA3" w14:textId="77777777" w:rsidR="00D36D65" w:rsidRDefault="00A35730">
      <w:pPr>
        <w:shd w:val="clear" w:color="auto" w:fill="FFFFFF"/>
        <w:spacing w:line="300" w:lineRule="auto"/>
      </w:pPr>
      <w:r>
        <w:t xml:space="preserve">  </w:t>
      </w:r>
    </w:p>
    <w:p w14:paraId="732AD24E" w14:textId="77777777" w:rsidR="00D36D65" w:rsidRDefault="00A35730">
      <w:pPr>
        <w:shd w:val="clear" w:color="auto" w:fill="FFFFFF"/>
        <w:spacing w:line="300" w:lineRule="auto"/>
      </w:pPr>
      <w:r>
        <w:lastRenderedPageBreak/>
        <w:t xml:space="preserve">Unlawful discrimination can apply to every aspect of school life. It covers all school activities, including:  </w:t>
      </w:r>
    </w:p>
    <w:p w14:paraId="4CD2EF39" w14:textId="77777777" w:rsidR="00D36D65" w:rsidRDefault="00A35730">
      <w:pPr>
        <w:numPr>
          <w:ilvl w:val="0"/>
          <w:numId w:val="11"/>
        </w:numPr>
        <w:spacing w:line="300" w:lineRule="auto"/>
      </w:pPr>
      <w:r>
        <w:t xml:space="preserve">extra-curricular activities,   </w:t>
      </w:r>
    </w:p>
    <w:p w14:paraId="53304555" w14:textId="77777777" w:rsidR="00D36D65" w:rsidRDefault="00A35730">
      <w:pPr>
        <w:numPr>
          <w:ilvl w:val="0"/>
          <w:numId w:val="11"/>
        </w:numPr>
        <w:spacing w:line="300" w:lineRule="auto"/>
      </w:pPr>
      <w:r>
        <w:t xml:space="preserve">leisure activities, </w:t>
      </w:r>
    </w:p>
    <w:p w14:paraId="7DE0AFBB" w14:textId="77777777" w:rsidR="00D36D65" w:rsidRDefault="00A35730">
      <w:pPr>
        <w:numPr>
          <w:ilvl w:val="0"/>
          <w:numId w:val="11"/>
        </w:numPr>
        <w:spacing w:line="300" w:lineRule="auto"/>
      </w:pPr>
      <w:r>
        <w:t xml:space="preserve">after-school clubs,   </w:t>
      </w:r>
    </w:p>
    <w:p w14:paraId="2FC2A1AE" w14:textId="77777777" w:rsidR="00D36D65" w:rsidRDefault="00A35730">
      <w:pPr>
        <w:numPr>
          <w:ilvl w:val="0"/>
          <w:numId w:val="11"/>
        </w:numPr>
        <w:spacing w:line="300" w:lineRule="auto"/>
      </w:pPr>
      <w:r>
        <w:t xml:space="preserve">homework clubs, </w:t>
      </w:r>
    </w:p>
    <w:p w14:paraId="58C156B8" w14:textId="77777777" w:rsidR="00D36D65" w:rsidRDefault="00A35730">
      <w:pPr>
        <w:numPr>
          <w:ilvl w:val="0"/>
          <w:numId w:val="11"/>
        </w:numPr>
        <w:spacing w:line="300" w:lineRule="auto"/>
      </w:pPr>
      <w:r>
        <w:t xml:space="preserve">sports activities,   </w:t>
      </w:r>
    </w:p>
    <w:p w14:paraId="0C28A7C4" w14:textId="77777777" w:rsidR="00D36D65" w:rsidRDefault="00A35730">
      <w:pPr>
        <w:numPr>
          <w:ilvl w:val="0"/>
          <w:numId w:val="11"/>
        </w:numPr>
        <w:spacing w:line="300" w:lineRule="auto"/>
      </w:pPr>
      <w:r>
        <w:t xml:space="preserve">Centre trips,   </w:t>
      </w:r>
    </w:p>
    <w:p w14:paraId="0EB8B24B" w14:textId="77777777" w:rsidR="00D36D65" w:rsidRDefault="00A35730">
      <w:pPr>
        <w:numPr>
          <w:ilvl w:val="0"/>
          <w:numId w:val="11"/>
        </w:numPr>
        <w:spacing w:line="300" w:lineRule="auto"/>
      </w:pPr>
      <w:r>
        <w:t xml:space="preserve">Centre facilities (for example, libraries and IT facilities).   </w:t>
      </w:r>
    </w:p>
    <w:p w14:paraId="5E9CA18A" w14:textId="77777777" w:rsidR="00D36D65" w:rsidRDefault="00A35730">
      <w:pPr>
        <w:shd w:val="clear" w:color="auto" w:fill="FFFFFF"/>
        <w:spacing w:line="300" w:lineRule="auto"/>
        <w:jc w:val="center"/>
      </w:pPr>
      <w:r>
        <w:t xml:space="preserve">Unlawful discrimination against a disabled student can occur in several ways: </w:t>
      </w:r>
    </w:p>
    <w:p w14:paraId="39EE111C" w14:textId="77777777" w:rsidR="00D36D65" w:rsidRDefault="00A35730">
      <w:pPr>
        <w:numPr>
          <w:ilvl w:val="0"/>
          <w:numId w:val="3"/>
        </w:numPr>
        <w:shd w:val="clear" w:color="auto" w:fill="FFFFFF"/>
        <w:spacing w:line="300" w:lineRule="auto"/>
      </w:pPr>
      <w:r>
        <w:t xml:space="preserve">direct discrimination,   </w:t>
      </w:r>
    </w:p>
    <w:p w14:paraId="7D13412D" w14:textId="77777777" w:rsidR="00D36D65" w:rsidRDefault="00A35730">
      <w:pPr>
        <w:numPr>
          <w:ilvl w:val="0"/>
          <w:numId w:val="3"/>
        </w:numPr>
        <w:shd w:val="clear" w:color="auto" w:fill="FFFFFF"/>
        <w:spacing w:line="300" w:lineRule="auto"/>
      </w:pPr>
      <w:r>
        <w:t xml:space="preserve">indirect discrimination,   </w:t>
      </w:r>
    </w:p>
    <w:p w14:paraId="66B84BAA" w14:textId="77777777" w:rsidR="00D36D65" w:rsidRDefault="00A35730">
      <w:pPr>
        <w:numPr>
          <w:ilvl w:val="0"/>
          <w:numId w:val="3"/>
        </w:numPr>
        <w:shd w:val="clear" w:color="auto" w:fill="FFFFFF"/>
        <w:spacing w:line="300" w:lineRule="auto"/>
      </w:pPr>
      <w:r>
        <w:t xml:space="preserve">discrimination arising from disability, </w:t>
      </w:r>
    </w:p>
    <w:p w14:paraId="473B9D63" w14:textId="77777777" w:rsidR="00D36D65" w:rsidRDefault="00A35730">
      <w:pPr>
        <w:numPr>
          <w:ilvl w:val="0"/>
          <w:numId w:val="3"/>
        </w:numPr>
        <w:shd w:val="clear" w:color="auto" w:fill="FFFFFF"/>
        <w:spacing w:line="300" w:lineRule="auto"/>
      </w:pPr>
      <w:r>
        <w:t xml:space="preserve">harassment.  </w:t>
      </w:r>
    </w:p>
    <w:p w14:paraId="5511B6A1" w14:textId="77777777" w:rsidR="00D36D65" w:rsidRDefault="00A35730" w:rsidP="00036BB5">
      <w:pPr>
        <w:shd w:val="clear" w:color="auto" w:fill="FFFFFF"/>
        <w:spacing w:before="240" w:after="120" w:line="300" w:lineRule="auto"/>
        <w:ind w:left="-23"/>
        <w:rPr>
          <w:b/>
        </w:rPr>
      </w:pPr>
      <w:r>
        <w:rPr>
          <w:b/>
        </w:rPr>
        <w:t xml:space="preserve">Direct discrimination  </w:t>
      </w:r>
    </w:p>
    <w:p w14:paraId="23982C43" w14:textId="77777777" w:rsidR="00D36D65" w:rsidRDefault="00A35730" w:rsidP="00036BB5">
      <w:pPr>
        <w:shd w:val="clear" w:color="auto" w:fill="FFFFFF"/>
        <w:spacing w:before="240" w:after="120" w:line="300" w:lineRule="auto"/>
      </w:pPr>
      <w:r>
        <w:t xml:space="preserve">Direct discrimination occurs when a school treats a disabled student less favourably than a non-disabled student. An example might be a school refusing to admit disabled students.  </w:t>
      </w:r>
    </w:p>
    <w:p w14:paraId="1FE6BDCA" w14:textId="77777777" w:rsidR="00D36D65" w:rsidRDefault="00A35730">
      <w:pPr>
        <w:shd w:val="clear" w:color="auto" w:fill="FFFFFF"/>
        <w:spacing w:line="300" w:lineRule="auto"/>
      </w:pPr>
      <w:r>
        <w:t xml:space="preserve">Direct discrimination is unlawful whether it is intended or not and regardless of the motive. However, it is not discrimination to treat a disabled student more favourably than a non-disabled student because of their disability.  </w:t>
      </w:r>
    </w:p>
    <w:p w14:paraId="720BB1BE" w14:textId="77777777" w:rsidR="00D36D65" w:rsidRDefault="00A35730" w:rsidP="00036BB5">
      <w:pPr>
        <w:shd w:val="clear" w:color="auto" w:fill="FFFFFF"/>
        <w:spacing w:before="240" w:after="120" w:line="300" w:lineRule="auto"/>
        <w:ind w:left="-23"/>
        <w:rPr>
          <w:b/>
        </w:rPr>
      </w:pPr>
      <w:r>
        <w:rPr>
          <w:b/>
        </w:rPr>
        <w:t xml:space="preserve">Indirect discrimination  </w:t>
      </w:r>
    </w:p>
    <w:p w14:paraId="45AEAB2D" w14:textId="77777777" w:rsidR="00D36D65" w:rsidRDefault="00A35730">
      <w:pPr>
        <w:shd w:val="clear" w:color="auto" w:fill="FFFFFF"/>
        <w:spacing w:line="300" w:lineRule="auto"/>
      </w:pPr>
      <w:r>
        <w:t xml:space="preserve">Indirect discrimination might occur when a school has a policy or rule that puts, or would put, disabled students at a disadvantage. An example might be a school having a rule that all students must be able to make their own way to and from after school clubs independently.  </w:t>
      </w:r>
    </w:p>
    <w:p w14:paraId="58E9BF94" w14:textId="77777777" w:rsidR="00D36D65" w:rsidRDefault="00A35730">
      <w:pPr>
        <w:shd w:val="clear" w:color="auto" w:fill="FFFFFF"/>
        <w:spacing w:line="300" w:lineRule="auto"/>
      </w:pPr>
      <w:r>
        <w:t xml:space="preserve">Schools also have a duty to make ‘reasonable adjustments’ (see below) for disabled students – in effect making an exception to the rule if the rule would put the disabled student at a disadvantage. </w:t>
      </w:r>
      <w:r>
        <w:rPr>
          <w:i/>
        </w:rPr>
        <w:t xml:space="preserve"> </w:t>
      </w:r>
      <w:r>
        <w:t xml:space="preserve"> </w:t>
      </w:r>
    </w:p>
    <w:p w14:paraId="1A676FA1" w14:textId="77777777" w:rsidR="00D36D65" w:rsidRDefault="00A35730" w:rsidP="00036BB5">
      <w:pPr>
        <w:shd w:val="clear" w:color="auto" w:fill="FFFFFF"/>
        <w:spacing w:before="240" w:after="120"/>
        <w:ind w:left="-23"/>
        <w:rPr>
          <w:b/>
        </w:rPr>
      </w:pPr>
      <w:r>
        <w:rPr>
          <w:b/>
        </w:rPr>
        <w:t xml:space="preserve">Discrimination arising from disability  </w:t>
      </w:r>
    </w:p>
    <w:p w14:paraId="0D322552" w14:textId="77777777" w:rsidR="00D36D65" w:rsidRDefault="00A35730">
      <w:pPr>
        <w:shd w:val="clear" w:color="auto" w:fill="FFFFFF"/>
        <w:spacing w:line="300" w:lineRule="auto"/>
      </w:pPr>
      <w:r>
        <w:t xml:space="preserve">Discrimination arising from disability might happen when a school treats a disabled student unfavourably because of something that is a consequence of their disability. An example might be a school refusing to allow a student with attention deficit hyperactivity disorder (ADHD) to go on a class visit to the theatre, because that student has attention difficulties and may disrupt the performance. The student’s attention difficulties are a consequence of their disability.  </w:t>
      </w:r>
    </w:p>
    <w:p w14:paraId="57CE663F" w14:textId="77777777" w:rsidR="00D36D65" w:rsidRDefault="00A35730" w:rsidP="00036BB5">
      <w:pPr>
        <w:shd w:val="clear" w:color="auto" w:fill="FFFFFF"/>
        <w:spacing w:before="240" w:after="100" w:afterAutospacing="1"/>
        <w:ind w:left="-23"/>
        <w:rPr>
          <w:b/>
        </w:rPr>
      </w:pPr>
      <w:r>
        <w:rPr>
          <w:b/>
        </w:rPr>
        <w:t xml:space="preserve">Harassment  </w:t>
      </w:r>
    </w:p>
    <w:p w14:paraId="24356637" w14:textId="77777777" w:rsidR="00D36D65" w:rsidRDefault="00A35730">
      <w:pPr>
        <w:shd w:val="clear" w:color="auto" w:fill="FFFFFF"/>
        <w:spacing w:line="300" w:lineRule="auto"/>
      </w:pPr>
      <w:r>
        <w:t xml:space="preserve">Harassment occurs when a member of Centre staff engages in conduct that either:   </w:t>
      </w:r>
    </w:p>
    <w:p w14:paraId="2F9F11F7" w14:textId="77777777" w:rsidR="00D36D65" w:rsidRDefault="00A35730">
      <w:pPr>
        <w:numPr>
          <w:ilvl w:val="0"/>
          <w:numId w:val="16"/>
        </w:numPr>
        <w:spacing w:line="300" w:lineRule="auto"/>
        <w:ind w:left="1060"/>
        <w:rPr>
          <w:sz w:val="20"/>
          <w:szCs w:val="20"/>
        </w:rPr>
      </w:pPr>
      <w:r>
        <w:t xml:space="preserve">violates a student’s dignity,  or   </w:t>
      </w:r>
    </w:p>
    <w:p w14:paraId="0480FD3C" w14:textId="77777777" w:rsidR="00D36D65" w:rsidRDefault="00A35730">
      <w:pPr>
        <w:numPr>
          <w:ilvl w:val="0"/>
          <w:numId w:val="16"/>
        </w:numPr>
        <w:spacing w:line="300" w:lineRule="auto"/>
        <w:ind w:left="1060"/>
        <w:rPr>
          <w:sz w:val="20"/>
          <w:szCs w:val="20"/>
        </w:rPr>
      </w:pPr>
      <w:r>
        <w:lastRenderedPageBreak/>
        <w:t xml:space="preserve">creates an intimidating, hostile, degrading, humiliating or offensive environment for a student.  </w:t>
      </w:r>
    </w:p>
    <w:p w14:paraId="637FABBB" w14:textId="77777777" w:rsidR="00D36D65" w:rsidRDefault="00A35730">
      <w:pPr>
        <w:shd w:val="clear" w:color="auto" w:fill="FFFFFF"/>
        <w:spacing w:line="300" w:lineRule="auto"/>
      </w:pPr>
      <w:r>
        <w:t xml:space="preserve">An example might be a teacher shouting at a student for failing to carry out an instruction because, as part of their autism, the pupil has receptive language difficulties and may have either misunderstood what has been asked or needs more time to process the instruction.  </w:t>
      </w:r>
    </w:p>
    <w:p w14:paraId="003ABC5D" w14:textId="77777777" w:rsidR="00D36D65" w:rsidRDefault="00A35730" w:rsidP="00036BB5">
      <w:pPr>
        <w:spacing w:before="240" w:after="120"/>
      </w:pPr>
      <w:r>
        <w:rPr>
          <w:b/>
        </w:rPr>
        <w:t>Reasonable adjustments</w:t>
      </w:r>
      <w:r>
        <w:t xml:space="preserve">  </w:t>
      </w:r>
    </w:p>
    <w:p w14:paraId="36B770D3" w14:textId="30148430" w:rsidR="00D36D65" w:rsidRDefault="00036BB5">
      <w:pPr>
        <w:shd w:val="clear" w:color="auto" w:fill="FFFFFF"/>
        <w:spacing w:line="300" w:lineRule="auto"/>
      </w:pPr>
      <w:r>
        <w:t>RBET-Aylesbury</w:t>
      </w:r>
      <w:r w:rsidR="00A35730">
        <w:t xml:space="preserve"> will ensure students are able to access its full provision and is proactive in implementing measures that support the needs of all its learners. </w:t>
      </w:r>
    </w:p>
    <w:p w14:paraId="070AC43E" w14:textId="4C0FBE49" w:rsidR="00D36D65" w:rsidRDefault="00A35730">
      <w:pPr>
        <w:shd w:val="clear" w:color="auto" w:fill="FFFFFF"/>
        <w:spacing w:line="300" w:lineRule="auto"/>
      </w:pPr>
      <w:r>
        <w:t xml:space="preserve">The Disability and Discrimiation Act (2010) require </w:t>
      </w:r>
      <w:r w:rsidR="00036BB5">
        <w:t>RBET-Aylesbury</w:t>
      </w:r>
      <w:r>
        <w:t xml:space="preserve"> to:  </w:t>
      </w:r>
    </w:p>
    <w:p w14:paraId="43173D3D" w14:textId="77777777" w:rsidR="00D36D65" w:rsidRDefault="00A35730">
      <w:pPr>
        <w:numPr>
          <w:ilvl w:val="0"/>
          <w:numId w:val="9"/>
        </w:numPr>
        <w:spacing w:line="300" w:lineRule="auto"/>
        <w:ind w:left="1060"/>
        <w:rPr>
          <w:sz w:val="20"/>
          <w:szCs w:val="20"/>
        </w:rPr>
      </w:pPr>
      <w:r>
        <w:t xml:space="preserve">think ahead;  </w:t>
      </w:r>
    </w:p>
    <w:p w14:paraId="6D952845" w14:textId="77777777" w:rsidR="00D36D65" w:rsidRDefault="00A35730">
      <w:pPr>
        <w:numPr>
          <w:ilvl w:val="0"/>
          <w:numId w:val="9"/>
        </w:numPr>
        <w:spacing w:line="300" w:lineRule="auto"/>
        <w:ind w:left="1060"/>
        <w:rPr>
          <w:sz w:val="20"/>
          <w:szCs w:val="20"/>
        </w:rPr>
      </w:pPr>
      <w:r>
        <w:t xml:space="preserve">anticipate the barriers that disabled pupils may face;   </w:t>
      </w:r>
    </w:p>
    <w:p w14:paraId="0E36DA7A" w14:textId="77777777" w:rsidR="00D36D65" w:rsidRDefault="00A35730">
      <w:pPr>
        <w:numPr>
          <w:ilvl w:val="0"/>
          <w:numId w:val="27"/>
        </w:numPr>
        <w:spacing w:line="300" w:lineRule="auto"/>
        <w:ind w:left="1060"/>
        <w:rPr>
          <w:sz w:val="20"/>
          <w:szCs w:val="20"/>
        </w:rPr>
      </w:pPr>
      <w:r>
        <w:t xml:space="preserve">remove or minimise barriers before a disabled pupil is placed at a substantial disadvantage.  </w:t>
      </w:r>
    </w:p>
    <w:p w14:paraId="69683416" w14:textId="77777777" w:rsidR="00D36D65" w:rsidRDefault="00A35730">
      <w:pPr>
        <w:shd w:val="clear" w:color="auto" w:fill="FFFFFF"/>
        <w:spacing w:line="300" w:lineRule="auto"/>
      </w:pPr>
      <w:r>
        <w:rPr>
          <w:i/>
        </w:rPr>
        <w:t xml:space="preserve"> </w:t>
      </w:r>
      <w:r>
        <w:t xml:space="preserve"> </w:t>
      </w:r>
    </w:p>
    <w:p w14:paraId="5DA331EB" w14:textId="135796DE" w:rsidR="00D36D65" w:rsidRDefault="00036BB5">
      <w:pPr>
        <w:shd w:val="clear" w:color="auto" w:fill="FFFFFF"/>
        <w:spacing w:line="300" w:lineRule="auto"/>
      </w:pPr>
      <w:r>
        <w:rPr>
          <w:b/>
          <w:i/>
        </w:rPr>
        <w:t>RBET-Aylesbury</w:t>
      </w:r>
      <w:r w:rsidR="00A35730">
        <w:rPr>
          <w:b/>
          <w:i/>
        </w:rPr>
        <w:t xml:space="preserve"> will strive to meet the legal requirements of the legislation described here with the caveat that availability of finance will inevitably impact upon what it is possible to do in terms of modifications to buildings or the purchase of costly ‘aids’. </w:t>
      </w:r>
      <w:r w:rsidR="00A35730">
        <w:t xml:space="preserve"> </w:t>
      </w:r>
    </w:p>
    <w:p w14:paraId="58BEDCDC" w14:textId="77777777" w:rsidR="00D36D65" w:rsidRDefault="00A35730">
      <w:pPr>
        <w:shd w:val="clear" w:color="auto" w:fill="FFFFFF"/>
        <w:spacing w:line="300" w:lineRule="auto"/>
        <w:rPr>
          <w:b/>
        </w:rPr>
      </w:pPr>
      <w:r>
        <w:rPr>
          <w:i/>
        </w:rPr>
        <w:t xml:space="preserve"> </w:t>
      </w:r>
      <w:r>
        <w:t xml:space="preserve"> </w:t>
      </w:r>
    </w:p>
    <w:p w14:paraId="2D2BD19E" w14:textId="77777777" w:rsidR="00D36D65" w:rsidRDefault="00A35730" w:rsidP="00036BB5">
      <w:pPr>
        <w:spacing w:before="240" w:after="120"/>
        <w:rPr>
          <w:b/>
        </w:rPr>
      </w:pPr>
      <w:r>
        <w:rPr>
          <w:b/>
        </w:rPr>
        <w:t xml:space="preserve">Legislation and Guidance that inform this document  </w:t>
      </w:r>
    </w:p>
    <w:p w14:paraId="0515713F" w14:textId="77777777" w:rsidR="00D36D65" w:rsidRDefault="00A35730">
      <w:pPr>
        <w:widowControl w:val="0"/>
        <w:numPr>
          <w:ilvl w:val="0"/>
          <w:numId w:val="7"/>
        </w:numPr>
        <w:ind w:left="1060"/>
        <w:rPr>
          <w:sz w:val="20"/>
          <w:szCs w:val="20"/>
        </w:rPr>
      </w:pPr>
      <w:r>
        <w:t xml:space="preserve">SEN and Disability Act (2001) … this extended the  </w:t>
      </w:r>
    </w:p>
    <w:p w14:paraId="22A61F02" w14:textId="77777777" w:rsidR="00D36D65" w:rsidRDefault="00A35730">
      <w:pPr>
        <w:widowControl w:val="0"/>
        <w:numPr>
          <w:ilvl w:val="0"/>
          <w:numId w:val="7"/>
        </w:numPr>
        <w:ind w:left="1060"/>
        <w:rPr>
          <w:sz w:val="20"/>
          <w:szCs w:val="20"/>
        </w:rPr>
      </w:pPr>
      <w:r>
        <w:t xml:space="preserve">Disability Discrimination Act (DDA 2010) to cover education  </w:t>
      </w:r>
    </w:p>
    <w:p w14:paraId="5A004E24" w14:textId="77777777" w:rsidR="00D36D65" w:rsidRDefault="00A35730">
      <w:pPr>
        <w:widowControl w:val="0"/>
        <w:numPr>
          <w:ilvl w:val="0"/>
          <w:numId w:val="7"/>
        </w:numPr>
        <w:ind w:left="1060"/>
        <w:rPr>
          <w:sz w:val="20"/>
          <w:szCs w:val="20"/>
        </w:rPr>
      </w:pPr>
      <w:r>
        <w:t xml:space="preserve">Disability Equality Duty (2006)  </w:t>
      </w:r>
    </w:p>
    <w:p w14:paraId="58C2A0AE" w14:textId="77777777" w:rsidR="00D36D65" w:rsidRDefault="00A35730">
      <w:pPr>
        <w:widowControl w:val="0"/>
        <w:numPr>
          <w:ilvl w:val="0"/>
          <w:numId w:val="14"/>
        </w:numPr>
        <w:ind w:left="1060"/>
        <w:rPr>
          <w:sz w:val="20"/>
          <w:szCs w:val="20"/>
        </w:rPr>
      </w:pPr>
      <w:r>
        <w:t xml:space="preserve">Equality Act (2010)  </w:t>
      </w:r>
    </w:p>
    <w:p w14:paraId="3D9B18BD" w14:textId="77777777" w:rsidR="00D36D65" w:rsidRDefault="00A35730">
      <w:pPr>
        <w:widowControl w:val="0"/>
        <w:numPr>
          <w:ilvl w:val="0"/>
          <w:numId w:val="14"/>
        </w:numPr>
        <w:ind w:left="1060"/>
        <w:rPr>
          <w:sz w:val="20"/>
          <w:szCs w:val="20"/>
        </w:rPr>
      </w:pPr>
      <w:r>
        <w:t xml:space="preserve">Disability Discrimination Act (2005)  </w:t>
      </w:r>
    </w:p>
    <w:p w14:paraId="0210E939" w14:textId="77777777" w:rsidR="00D36D65" w:rsidRDefault="00A35730">
      <w:pPr>
        <w:widowControl w:val="0"/>
        <w:shd w:val="clear" w:color="auto" w:fill="FFFFFF"/>
      </w:pPr>
      <w:r>
        <w:rPr>
          <w:b/>
        </w:rPr>
        <w:t xml:space="preserve"> </w:t>
      </w:r>
      <w:r>
        <w:t xml:space="preserve"> </w:t>
      </w:r>
    </w:p>
    <w:p w14:paraId="5DCFEC06" w14:textId="77777777" w:rsidR="00D36D65" w:rsidRDefault="00A35730">
      <w:r>
        <w:t xml:space="preserve">Other Red Balloon policies to be read in conjunction with this one  </w:t>
      </w:r>
    </w:p>
    <w:p w14:paraId="0C9E847E" w14:textId="6707A7EF" w:rsidR="00D36D65" w:rsidRDefault="00A35730">
      <w:pPr>
        <w:widowControl w:val="0"/>
        <w:numPr>
          <w:ilvl w:val="0"/>
          <w:numId w:val="19"/>
        </w:numPr>
        <w:ind w:left="1060"/>
        <w:rPr>
          <w:sz w:val="20"/>
          <w:szCs w:val="20"/>
        </w:rPr>
      </w:pPr>
      <w:r>
        <w:t xml:space="preserve">Staff </w:t>
      </w:r>
      <w:r w:rsidR="00036BB5">
        <w:t>c</w:t>
      </w:r>
      <w:r>
        <w:t xml:space="preserve">ode of </w:t>
      </w:r>
      <w:r w:rsidR="00036BB5">
        <w:t>c</w:t>
      </w:r>
      <w:r>
        <w:t xml:space="preserve">onduct  </w:t>
      </w:r>
    </w:p>
    <w:p w14:paraId="384D85E1" w14:textId="5A967E55" w:rsidR="00D36D65" w:rsidRDefault="00A35730">
      <w:pPr>
        <w:widowControl w:val="0"/>
        <w:numPr>
          <w:ilvl w:val="0"/>
          <w:numId w:val="22"/>
        </w:numPr>
        <w:ind w:left="1060"/>
        <w:rPr>
          <w:sz w:val="20"/>
          <w:szCs w:val="20"/>
        </w:rPr>
      </w:pPr>
      <w:r>
        <w:t xml:space="preserve">Behaviour for </w:t>
      </w:r>
      <w:r w:rsidR="00036BB5">
        <w:t>l</w:t>
      </w:r>
      <w:r>
        <w:t xml:space="preserve">earning  </w:t>
      </w:r>
    </w:p>
    <w:p w14:paraId="1115D3BF" w14:textId="77777777" w:rsidR="00D36D65" w:rsidRDefault="00A35730">
      <w:pPr>
        <w:widowControl w:val="0"/>
        <w:numPr>
          <w:ilvl w:val="0"/>
          <w:numId w:val="22"/>
        </w:numPr>
        <w:ind w:left="1060"/>
        <w:rPr>
          <w:sz w:val="20"/>
          <w:szCs w:val="20"/>
        </w:rPr>
      </w:pPr>
      <w:r>
        <w:t xml:space="preserve">PSHEE  </w:t>
      </w:r>
    </w:p>
    <w:p w14:paraId="0D68F30C" w14:textId="77777777" w:rsidR="00D36D65" w:rsidRDefault="00D36D65">
      <w:pPr>
        <w:widowControl w:val="0"/>
        <w:ind w:right="3902"/>
        <w:rPr>
          <w:b/>
        </w:rPr>
      </w:pPr>
    </w:p>
    <w:p w14:paraId="0E40D0BB" w14:textId="77777777" w:rsidR="00D36D65" w:rsidRDefault="00D36D65">
      <w:pPr>
        <w:rPr>
          <w:b/>
          <w:sz w:val="24"/>
          <w:szCs w:val="24"/>
        </w:rPr>
      </w:pPr>
    </w:p>
    <w:p w14:paraId="3D754277" w14:textId="77777777" w:rsidR="00D36D65" w:rsidRDefault="00D36D65"/>
    <w:sectPr w:rsidR="00D36D65" w:rsidSect="00036BB5">
      <w:footerReference w:type="even" r:id="rId11"/>
      <w:footerReference w:type="default" r:id="rId12"/>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53087" w14:textId="77777777" w:rsidR="00036BB5" w:rsidRDefault="00036BB5" w:rsidP="00036BB5">
      <w:pPr>
        <w:spacing w:line="240" w:lineRule="auto"/>
      </w:pPr>
      <w:r>
        <w:separator/>
      </w:r>
    </w:p>
  </w:endnote>
  <w:endnote w:type="continuationSeparator" w:id="0">
    <w:p w14:paraId="135AB981" w14:textId="77777777" w:rsidR="00036BB5" w:rsidRDefault="00036BB5" w:rsidP="00036BB5">
      <w:pPr>
        <w:spacing w:line="240" w:lineRule="auto"/>
      </w:pPr>
      <w:r>
        <w:continuationSeparator/>
      </w:r>
    </w:p>
  </w:endnote>
  <w:endnote w:type="continuationNotice" w:id="1">
    <w:p w14:paraId="6AF0C1F2" w14:textId="77777777" w:rsidR="00E44760" w:rsidRDefault="00E447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0119848"/>
      <w:docPartObj>
        <w:docPartGallery w:val="Page Numbers (Bottom of Page)"/>
        <w:docPartUnique/>
      </w:docPartObj>
    </w:sdtPr>
    <w:sdtEndPr>
      <w:rPr>
        <w:rStyle w:val="PageNumber"/>
      </w:rPr>
    </w:sdtEndPr>
    <w:sdtContent>
      <w:p w14:paraId="3B202857" w14:textId="4A0DA7F8" w:rsidR="00036BB5" w:rsidRDefault="00036BB5" w:rsidP="00120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ADA1AC" w14:textId="77777777" w:rsidR="00036BB5" w:rsidRDefault="00036BB5" w:rsidP="00036B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4898988"/>
      <w:docPartObj>
        <w:docPartGallery w:val="Page Numbers (Bottom of Page)"/>
        <w:docPartUnique/>
      </w:docPartObj>
    </w:sdtPr>
    <w:sdtEndPr>
      <w:rPr>
        <w:rStyle w:val="PageNumber"/>
      </w:rPr>
    </w:sdtEndPr>
    <w:sdtContent>
      <w:p w14:paraId="2B1F7DEA" w14:textId="02EF4661" w:rsidR="00036BB5" w:rsidRDefault="00036BB5" w:rsidP="00120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6D2AC0F" w14:textId="77777777" w:rsidR="00036BB5" w:rsidRDefault="00036BB5" w:rsidP="00036BB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D46FA" w14:textId="77777777" w:rsidR="00036BB5" w:rsidRDefault="00036BB5" w:rsidP="00036BB5">
      <w:pPr>
        <w:spacing w:line="240" w:lineRule="auto"/>
      </w:pPr>
      <w:r>
        <w:separator/>
      </w:r>
    </w:p>
  </w:footnote>
  <w:footnote w:type="continuationSeparator" w:id="0">
    <w:p w14:paraId="6263E9C5" w14:textId="77777777" w:rsidR="00036BB5" w:rsidRDefault="00036BB5" w:rsidP="00036BB5">
      <w:pPr>
        <w:spacing w:line="240" w:lineRule="auto"/>
      </w:pPr>
      <w:r>
        <w:continuationSeparator/>
      </w:r>
    </w:p>
  </w:footnote>
  <w:footnote w:type="continuationNotice" w:id="1">
    <w:p w14:paraId="23531EEE" w14:textId="77777777" w:rsidR="00E44760" w:rsidRDefault="00E4476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22C1"/>
    <w:multiLevelType w:val="multilevel"/>
    <w:tmpl w:val="F57E8B1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D007F7"/>
    <w:multiLevelType w:val="multilevel"/>
    <w:tmpl w:val="66A4101A"/>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38A63F8"/>
    <w:multiLevelType w:val="multilevel"/>
    <w:tmpl w:val="E00CEBB8"/>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7061F75"/>
    <w:multiLevelType w:val="multilevel"/>
    <w:tmpl w:val="F0DE112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B637F5"/>
    <w:multiLevelType w:val="multilevel"/>
    <w:tmpl w:val="F9D63DB0"/>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4AD7519"/>
    <w:multiLevelType w:val="multilevel"/>
    <w:tmpl w:val="119C05C8"/>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B86DE8"/>
    <w:multiLevelType w:val="multilevel"/>
    <w:tmpl w:val="5540EE4E"/>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1C75DA"/>
    <w:multiLevelType w:val="multilevel"/>
    <w:tmpl w:val="1DF0C99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1FB4D08"/>
    <w:multiLevelType w:val="multilevel"/>
    <w:tmpl w:val="CEA2B44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8F1407"/>
    <w:multiLevelType w:val="multilevel"/>
    <w:tmpl w:val="1FCC486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87E2E02"/>
    <w:multiLevelType w:val="multilevel"/>
    <w:tmpl w:val="5D7CDB9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89D54DD"/>
    <w:multiLevelType w:val="multilevel"/>
    <w:tmpl w:val="E54A0B1E"/>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2D817BBA"/>
    <w:multiLevelType w:val="multilevel"/>
    <w:tmpl w:val="ACEA043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190181C"/>
    <w:multiLevelType w:val="multilevel"/>
    <w:tmpl w:val="60DC6B8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2540398"/>
    <w:multiLevelType w:val="multilevel"/>
    <w:tmpl w:val="334C5A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DAD53DC"/>
    <w:multiLevelType w:val="multilevel"/>
    <w:tmpl w:val="B5E22950"/>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E37736A"/>
    <w:multiLevelType w:val="multilevel"/>
    <w:tmpl w:val="077A4E9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67131BF"/>
    <w:multiLevelType w:val="multilevel"/>
    <w:tmpl w:val="53BA96E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ED911DF"/>
    <w:multiLevelType w:val="multilevel"/>
    <w:tmpl w:val="A5FC612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8BC6577"/>
    <w:multiLevelType w:val="multilevel"/>
    <w:tmpl w:val="C33EB4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9060335"/>
    <w:multiLevelType w:val="multilevel"/>
    <w:tmpl w:val="4F1AE67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A1F323E"/>
    <w:multiLevelType w:val="multilevel"/>
    <w:tmpl w:val="8976F36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22A2570"/>
    <w:multiLevelType w:val="multilevel"/>
    <w:tmpl w:val="01C2D8B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27D2A12"/>
    <w:multiLevelType w:val="multilevel"/>
    <w:tmpl w:val="59382EFC"/>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39E00FE"/>
    <w:multiLevelType w:val="multilevel"/>
    <w:tmpl w:val="8746E83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80A15E9"/>
    <w:multiLevelType w:val="multilevel"/>
    <w:tmpl w:val="5AFC006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634C39"/>
    <w:multiLevelType w:val="multilevel"/>
    <w:tmpl w:val="D2B4DEB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F374F61"/>
    <w:multiLevelType w:val="multilevel"/>
    <w:tmpl w:val="24D09FA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2100DE9"/>
    <w:multiLevelType w:val="multilevel"/>
    <w:tmpl w:val="BE94E7D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4C920A8"/>
    <w:multiLevelType w:val="multilevel"/>
    <w:tmpl w:val="0F72F7E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32432307">
    <w:abstractNumId w:val="1"/>
  </w:num>
  <w:num w:numId="2" w16cid:durableId="373965452">
    <w:abstractNumId w:val="29"/>
  </w:num>
  <w:num w:numId="3" w16cid:durableId="206189761">
    <w:abstractNumId w:val="16"/>
  </w:num>
  <w:num w:numId="4" w16cid:durableId="1563056453">
    <w:abstractNumId w:val="0"/>
  </w:num>
  <w:num w:numId="5" w16cid:durableId="1416517131">
    <w:abstractNumId w:val="21"/>
  </w:num>
  <w:num w:numId="6" w16cid:durableId="1917088281">
    <w:abstractNumId w:val="25"/>
  </w:num>
  <w:num w:numId="7" w16cid:durableId="556625579">
    <w:abstractNumId w:val="23"/>
  </w:num>
  <w:num w:numId="8" w16cid:durableId="806357477">
    <w:abstractNumId w:val="4"/>
  </w:num>
  <w:num w:numId="9" w16cid:durableId="1163273558">
    <w:abstractNumId w:val="17"/>
  </w:num>
  <w:num w:numId="10" w16cid:durableId="1367218913">
    <w:abstractNumId w:val="3"/>
  </w:num>
  <w:num w:numId="11" w16cid:durableId="792209304">
    <w:abstractNumId w:val="14"/>
  </w:num>
  <w:num w:numId="12" w16cid:durableId="1737391761">
    <w:abstractNumId w:val="9"/>
  </w:num>
  <w:num w:numId="13" w16cid:durableId="1668363331">
    <w:abstractNumId w:val="2"/>
  </w:num>
  <w:num w:numId="14" w16cid:durableId="1980987112">
    <w:abstractNumId w:val="6"/>
  </w:num>
  <w:num w:numId="15" w16cid:durableId="2011978386">
    <w:abstractNumId w:val="10"/>
  </w:num>
  <w:num w:numId="16" w16cid:durableId="958686598">
    <w:abstractNumId w:val="7"/>
  </w:num>
  <w:num w:numId="17" w16cid:durableId="1495074434">
    <w:abstractNumId w:val="19"/>
  </w:num>
  <w:num w:numId="18" w16cid:durableId="178130216">
    <w:abstractNumId w:val="11"/>
  </w:num>
  <w:num w:numId="19" w16cid:durableId="898592938">
    <w:abstractNumId w:val="15"/>
  </w:num>
  <w:num w:numId="20" w16cid:durableId="1603489499">
    <w:abstractNumId w:val="8"/>
  </w:num>
  <w:num w:numId="21" w16cid:durableId="1850869893">
    <w:abstractNumId w:val="18"/>
  </w:num>
  <w:num w:numId="22" w16cid:durableId="196939371">
    <w:abstractNumId w:val="5"/>
  </w:num>
  <w:num w:numId="23" w16cid:durableId="766777156">
    <w:abstractNumId w:val="26"/>
  </w:num>
  <w:num w:numId="24" w16cid:durableId="1745104213">
    <w:abstractNumId w:val="13"/>
  </w:num>
  <w:num w:numId="25" w16cid:durableId="800927116">
    <w:abstractNumId w:val="22"/>
  </w:num>
  <w:num w:numId="26" w16cid:durableId="1735543117">
    <w:abstractNumId w:val="24"/>
  </w:num>
  <w:num w:numId="27" w16cid:durableId="950746218">
    <w:abstractNumId w:val="12"/>
  </w:num>
  <w:num w:numId="28" w16cid:durableId="705064287">
    <w:abstractNumId w:val="27"/>
  </w:num>
  <w:num w:numId="29" w16cid:durableId="1080174118">
    <w:abstractNumId w:val="28"/>
  </w:num>
  <w:num w:numId="30" w16cid:durableId="614148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D65"/>
    <w:rsid w:val="00036BB5"/>
    <w:rsid w:val="000405D1"/>
    <w:rsid w:val="00076672"/>
    <w:rsid w:val="000D0441"/>
    <w:rsid w:val="000F2E91"/>
    <w:rsid w:val="0015521E"/>
    <w:rsid w:val="004606DC"/>
    <w:rsid w:val="004D7DC8"/>
    <w:rsid w:val="007A46E8"/>
    <w:rsid w:val="007B6FF7"/>
    <w:rsid w:val="007F4365"/>
    <w:rsid w:val="00880035"/>
    <w:rsid w:val="00A35730"/>
    <w:rsid w:val="00B9330D"/>
    <w:rsid w:val="00BE07CA"/>
    <w:rsid w:val="00C41874"/>
    <w:rsid w:val="00CA0B10"/>
    <w:rsid w:val="00CA54DC"/>
    <w:rsid w:val="00D36D65"/>
    <w:rsid w:val="00D60949"/>
    <w:rsid w:val="00E44760"/>
    <w:rsid w:val="0B3D8ED2"/>
    <w:rsid w:val="52AC9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7B0C5"/>
  <w15:docId w15:val="{BD84F795-4C19-40F7-8DB9-E79B3CA6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Footer">
    <w:name w:val="footer"/>
    <w:basedOn w:val="Normal"/>
    <w:link w:val="FooterChar"/>
    <w:uiPriority w:val="99"/>
    <w:unhideWhenUsed/>
    <w:rsid w:val="00036BB5"/>
    <w:pPr>
      <w:tabs>
        <w:tab w:val="center" w:pos="4680"/>
        <w:tab w:val="right" w:pos="9360"/>
      </w:tabs>
      <w:spacing w:line="240" w:lineRule="auto"/>
    </w:pPr>
  </w:style>
  <w:style w:type="character" w:customStyle="1" w:styleId="FooterChar">
    <w:name w:val="Footer Char"/>
    <w:basedOn w:val="DefaultParagraphFont"/>
    <w:link w:val="Footer"/>
    <w:uiPriority w:val="99"/>
    <w:rsid w:val="00036BB5"/>
  </w:style>
  <w:style w:type="character" w:styleId="PageNumber">
    <w:name w:val="page number"/>
    <w:basedOn w:val="DefaultParagraphFont"/>
    <w:uiPriority w:val="99"/>
    <w:semiHidden/>
    <w:unhideWhenUsed/>
    <w:rsid w:val="00036BB5"/>
  </w:style>
  <w:style w:type="paragraph" w:styleId="Header">
    <w:name w:val="header"/>
    <w:basedOn w:val="Normal"/>
    <w:link w:val="HeaderChar"/>
    <w:uiPriority w:val="99"/>
    <w:semiHidden/>
    <w:unhideWhenUsed/>
    <w:rsid w:val="00E44760"/>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44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31d69a-9478-4a74-b55a-9187a7a8d264" xsi:nil="true"/>
    <SharedWithUsers xmlns="cb31d69a-9478-4a74-b55a-9187a7a8d264">
      <UserInfo>
        <DisplayName/>
        <AccountId xsi:nil="true"/>
        <AccountType/>
      </UserInfo>
    </SharedWithUsers>
    <lcf76f155ced4ddcb4097134ff3c332f xmlns="e37d5b03-ee2d-4a8c-98ff-300bd74a6b9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8E05C67288A049A9C75F15BAAF8C9E" ma:contentTypeVersion="13" ma:contentTypeDescription="Create a new document." ma:contentTypeScope="" ma:versionID="394456f9de295d34d902e841f8ea492a">
  <xsd:schema xmlns:xsd="http://www.w3.org/2001/XMLSchema" xmlns:xs="http://www.w3.org/2001/XMLSchema" xmlns:p="http://schemas.microsoft.com/office/2006/metadata/properties" xmlns:ns2="cb31d69a-9478-4a74-b55a-9187a7a8d264" xmlns:ns3="e37d5b03-ee2d-4a8c-98ff-300bd74a6b98" targetNamespace="http://schemas.microsoft.com/office/2006/metadata/properties" ma:root="true" ma:fieldsID="f75e7c8b7727b151976951d5e67c3a4f" ns2:_="" ns3:_="">
    <xsd:import namespace="cb31d69a-9478-4a74-b55a-9187a7a8d264"/>
    <xsd:import namespace="e37d5b03-ee2d-4a8c-98ff-300bd74a6b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1d69a-9478-4a74-b55a-9187a7a8d2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513f50f-4b9c-4790-9667-2b8c8e9b160d}" ma:internalName="TaxCatchAll" ma:showField="CatchAllData" ma:web="cb31d69a-9478-4a74-b55a-9187a7a8d2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7d5b03-ee2d-4a8c-98ff-300bd74a6b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2e71cf9-fb7a-40b5-b3f5-994683ed0b1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AD0719-0ACC-43CD-854F-BCE3EA0C33A8}">
  <ds:schemaRefs>
    <ds:schemaRef ds:uri="http://schemas.microsoft.com/office/2006/metadata/properties"/>
    <ds:schemaRef ds:uri="http://schemas.microsoft.com/office/infopath/2007/PartnerControls"/>
    <ds:schemaRef ds:uri="652535e0-d5f8-4310-92c8-94a365ecfd51"/>
    <ds:schemaRef ds:uri="cb31d69a-9478-4a74-b55a-9187a7a8d264"/>
    <ds:schemaRef ds:uri="e37d5b03-ee2d-4a8c-98ff-300bd74a6b98"/>
  </ds:schemaRefs>
</ds:datastoreItem>
</file>

<file path=customXml/itemProps2.xml><?xml version="1.0" encoding="utf-8"?>
<ds:datastoreItem xmlns:ds="http://schemas.openxmlformats.org/officeDocument/2006/customXml" ds:itemID="{9DD44A9D-B2DD-4D68-86AF-960D6F00C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1d69a-9478-4a74-b55a-9187a7a8d264"/>
    <ds:schemaRef ds:uri="e37d5b03-ee2d-4a8c-98ff-300bd74a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CFEB38-4356-483E-8E1C-274B46B8C9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1781</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Worthing Disability and Discrimination Policy</vt:lpstr>
    </vt:vector>
  </TitlesOfParts>
  <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Worthing Disability and Discrimination Policy</dc:title>
  <dc:creator>Ally McGuinness</dc:creator>
  <cp:lastModifiedBy>Ruth Loshak</cp:lastModifiedBy>
  <cp:revision>6</cp:revision>
  <dcterms:created xsi:type="dcterms:W3CDTF">2024-02-12T11:48:00Z</dcterms:created>
  <dcterms:modified xsi:type="dcterms:W3CDTF">2024-06-27T13:59:00Z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0x010100AB8E05C67288A049A9C75F15BAAF8C9E</vt:lpwstr>
  </property>
  <property fmtid="{D5CDD505-2E9C-101B-9397-08002B2CF9AE}" pid="3" name="Order">
    <vt:r8>16100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