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E7D1" w14:textId="4972D19A" w:rsidR="00E77996" w:rsidRDefault="3B3D4166" w:rsidP="1A3DA4D0">
      <w:pPr>
        <w:spacing w:after="160" w:line="259" w:lineRule="auto"/>
        <w:ind w:left="1800"/>
      </w:pPr>
      <w:r>
        <w:rPr>
          <w:noProof/>
        </w:rPr>
        <w:drawing>
          <wp:inline distT="0" distB="0" distL="0" distR="0" wp14:anchorId="51961B18" wp14:editId="640A08E8">
            <wp:extent cx="3314870" cy="1739989"/>
            <wp:effectExtent l="0" t="0" r="0" b="0"/>
            <wp:docPr id="980483043" name="Picture 98048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p>
    <w:tbl>
      <w:tblPr>
        <w:tblW w:w="900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590"/>
        <w:gridCol w:w="4410"/>
      </w:tblGrid>
      <w:tr w:rsidR="00E77996" w14:paraId="00FE383F" w14:textId="77777777" w:rsidTr="1A3DA4D0">
        <w:trPr>
          <w:trHeight w:val="420"/>
        </w:trPr>
        <w:tc>
          <w:tcPr>
            <w:tcW w:w="9000" w:type="dxa"/>
            <w:gridSpan w:val="2"/>
            <w:shd w:val="clear" w:color="auto" w:fill="F4CCCC"/>
            <w:tcMar>
              <w:top w:w="100" w:type="dxa"/>
              <w:left w:w="100" w:type="dxa"/>
              <w:bottom w:w="100" w:type="dxa"/>
              <w:right w:w="100" w:type="dxa"/>
            </w:tcMar>
          </w:tcPr>
          <w:p w14:paraId="17C523E1" w14:textId="77777777" w:rsidR="00E77996" w:rsidRDefault="00E77996" w:rsidP="00933F40">
            <w:pPr>
              <w:widowControl w:val="0"/>
              <w:spacing w:line="240" w:lineRule="auto"/>
              <w:rPr>
                <w:b/>
              </w:rPr>
            </w:pPr>
            <w:r>
              <w:rPr>
                <w:b/>
              </w:rPr>
              <w:t>Policy document control box</w:t>
            </w:r>
          </w:p>
        </w:tc>
      </w:tr>
      <w:tr w:rsidR="00E77996" w14:paraId="76D805C9" w14:textId="77777777" w:rsidTr="1A3DA4D0">
        <w:tc>
          <w:tcPr>
            <w:tcW w:w="4590" w:type="dxa"/>
            <w:shd w:val="clear" w:color="auto" w:fill="auto"/>
            <w:tcMar>
              <w:top w:w="100" w:type="dxa"/>
              <w:left w:w="100" w:type="dxa"/>
              <w:bottom w:w="100" w:type="dxa"/>
              <w:right w:w="100" w:type="dxa"/>
            </w:tcMar>
          </w:tcPr>
          <w:p w14:paraId="33C083A2" w14:textId="77777777" w:rsidR="00E77996" w:rsidRDefault="00E77996" w:rsidP="00933F40">
            <w:pPr>
              <w:widowControl w:val="0"/>
              <w:spacing w:line="240" w:lineRule="auto"/>
            </w:pPr>
            <w:r>
              <w:t>Policy title</w:t>
            </w:r>
          </w:p>
        </w:tc>
        <w:tc>
          <w:tcPr>
            <w:tcW w:w="4410" w:type="dxa"/>
            <w:shd w:val="clear" w:color="auto" w:fill="auto"/>
            <w:tcMar>
              <w:top w:w="100" w:type="dxa"/>
              <w:left w:w="100" w:type="dxa"/>
              <w:bottom w:w="100" w:type="dxa"/>
              <w:right w:w="100" w:type="dxa"/>
            </w:tcMar>
          </w:tcPr>
          <w:p w14:paraId="7B86A0E9" w14:textId="77777777" w:rsidR="00E77996" w:rsidRDefault="00E77996" w:rsidP="00933F40">
            <w:pPr>
              <w:pStyle w:val="Heading3"/>
              <w:keepNext w:val="0"/>
              <w:keepLines w:val="0"/>
              <w:spacing w:before="0" w:after="0" w:line="240" w:lineRule="auto"/>
              <w:rPr>
                <w:b/>
                <w:color w:val="000000"/>
                <w:sz w:val="22"/>
                <w:szCs w:val="22"/>
              </w:rPr>
            </w:pPr>
            <w:bookmarkStart w:id="0" w:name="_28reqzj" w:colFirst="0" w:colLast="0"/>
            <w:bookmarkEnd w:id="0"/>
            <w:r>
              <w:rPr>
                <w:b/>
                <w:color w:val="000000"/>
                <w:sz w:val="22"/>
                <w:szCs w:val="22"/>
              </w:rPr>
              <w:t>Curriculum</w:t>
            </w:r>
          </w:p>
        </w:tc>
      </w:tr>
      <w:tr w:rsidR="00E77996" w14:paraId="2640E8F8" w14:textId="77777777" w:rsidTr="1A3DA4D0">
        <w:tc>
          <w:tcPr>
            <w:tcW w:w="4590" w:type="dxa"/>
            <w:shd w:val="clear" w:color="auto" w:fill="auto"/>
            <w:tcMar>
              <w:top w:w="100" w:type="dxa"/>
              <w:left w:w="100" w:type="dxa"/>
              <w:bottom w:w="100" w:type="dxa"/>
              <w:right w:w="100" w:type="dxa"/>
            </w:tcMar>
          </w:tcPr>
          <w:p w14:paraId="5862F145" w14:textId="77777777" w:rsidR="00E77996" w:rsidRDefault="00E77996" w:rsidP="00933F40">
            <w:pPr>
              <w:widowControl w:val="0"/>
              <w:spacing w:line="240" w:lineRule="auto"/>
            </w:pPr>
            <w:r>
              <w:t>Policy owner (including job title)</w:t>
            </w:r>
          </w:p>
        </w:tc>
        <w:tc>
          <w:tcPr>
            <w:tcW w:w="4410" w:type="dxa"/>
            <w:shd w:val="clear" w:color="auto" w:fill="auto"/>
            <w:tcMar>
              <w:top w:w="100" w:type="dxa"/>
              <w:left w:w="100" w:type="dxa"/>
              <w:bottom w:w="100" w:type="dxa"/>
              <w:right w:w="100" w:type="dxa"/>
            </w:tcMar>
          </w:tcPr>
          <w:p w14:paraId="66CECAA4" w14:textId="6EA85446" w:rsidR="00E77996" w:rsidRDefault="35F0B457" w:rsidP="00933F40">
            <w:pPr>
              <w:widowControl w:val="0"/>
              <w:spacing w:line="240" w:lineRule="auto"/>
            </w:pPr>
            <w:r>
              <w:t>RBET-Aylesbury</w:t>
            </w:r>
          </w:p>
        </w:tc>
      </w:tr>
      <w:tr w:rsidR="00E77996" w14:paraId="1554B5D6" w14:textId="77777777" w:rsidTr="1A3DA4D0">
        <w:tc>
          <w:tcPr>
            <w:tcW w:w="4590" w:type="dxa"/>
            <w:shd w:val="clear" w:color="auto" w:fill="auto"/>
            <w:tcMar>
              <w:top w:w="100" w:type="dxa"/>
              <w:left w:w="100" w:type="dxa"/>
              <w:bottom w:w="100" w:type="dxa"/>
              <w:right w:w="100" w:type="dxa"/>
            </w:tcMar>
          </w:tcPr>
          <w:p w14:paraId="23364172" w14:textId="77777777" w:rsidR="00E77996" w:rsidRDefault="00E77996" w:rsidP="00933F40">
            <w:pPr>
              <w:widowControl w:val="0"/>
              <w:spacing w:line="240" w:lineRule="auto"/>
            </w:pPr>
            <w:r>
              <w:t>Version</w:t>
            </w:r>
          </w:p>
        </w:tc>
        <w:tc>
          <w:tcPr>
            <w:tcW w:w="4410" w:type="dxa"/>
            <w:shd w:val="clear" w:color="auto" w:fill="auto"/>
            <w:tcMar>
              <w:top w:w="100" w:type="dxa"/>
              <w:left w:w="100" w:type="dxa"/>
              <w:bottom w:w="100" w:type="dxa"/>
              <w:right w:w="100" w:type="dxa"/>
            </w:tcMar>
          </w:tcPr>
          <w:p w14:paraId="73797399" w14:textId="0A3B24B2" w:rsidR="00E77996" w:rsidRDefault="7D65F4C1" w:rsidP="00933F40">
            <w:pPr>
              <w:widowControl w:val="0"/>
              <w:spacing w:line="240" w:lineRule="auto"/>
            </w:pPr>
            <w:r>
              <w:t>1</w:t>
            </w:r>
          </w:p>
        </w:tc>
      </w:tr>
      <w:tr w:rsidR="00E77996" w14:paraId="782F9841" w14:textId="77777777" w:rsidTr="1A3DA4D0">
        <w:tc>
          <w:tcPr>
            <w:tcW w:w="4590" w:type="dxa"/>
            <w:shd w:val="clear" w:color="auto" w:fill="auto"/>
            <w:tcMar>
              <w:top w:w="100" w:type="dxa"/>
              <w:left w:w="100" w:type="dxa"/>
              <w:bottom w:w="100" w:type="dxa"/>
              <w:right w:w="100" w:type="dxa"/>
            </w:tcMar>
          </w:tcPr>
          <w:p w14:paraId="6DD092F4" w14:textId="1E322756" w:rsidR="00E77996" w:rsidRDefault="7D65F4C1" w:rsidP="00933F40">
            <w:pPr>
              <w:widowControl w:val="0"/>
              <w:spacing w:line="240" w:lineRule="auto"/>
            </w:pPr>
            <w:r>
              <w:t>RBET-Aylesbury</w:t>
            </w:r>
            <w:r w:rsidR="00E77996">
              <w:t xml:space="preserve"> approving body </w:t>
            </w:r>
          </w:p>
        </w:tc>
        <w:tc>
          <w:tcPr>
            <w:tcW w:w="4410" w:type="dxa"/>
            <w:shd w:val="clear" w:color="auto" w:fill="auto"/>
            <w:tcMar>
              <w:top w:w="100" w:type="dxa"/>
              <w:left w:w="100" w:type="dxa"/>
              <w:bottom w:w="100" w:type="dxa"/>
              <w:right w:w="100" w:type="dxa"/>
            </w:tcMar>
          </w:tcPr>
          <w:p w14:paraId="75A28E07" w14:textId="77777777" w:rsidR="00E77996" w:rsidRDefault="00E77996" w:rsidP="00933F40">
            <w:pPr>
              <w:widowControl w:val="0"/>
              <w:spacing w:line="240" w:lineRule="auto"/>
            </w:pPr>
            <w:r>
              <w:t>Red Balloon Educational Trust</w:t>
            </w:r>
          </w:p>
        </w:tc>
      </w:tr>
      <w:tr w:rsidR="00E77996" w14:paraId="1E3B0EB5" w14:textId="77777777" w:rsidTr="1A3DA4D0">
        <w:tc>
          <w:tcPr>
            <w:tcW w:w="4590" w:type="dxa"/>
            <w:shd w:val="clear" w:color="auto" w:fill="auto"/>
            <w:tcMar>
              <w:top w:w="100" w:type="dxa"/>
              <w:left w:w="100" w:type="dxa"/>
              <w:bottom w:w="100" w:type="dxa"/>
              <w:right w:w="100" w:type="dxa"/>
            </w:tcMar>
          </w:tcPr>
          <w:p w14:paraId="54F0DD3D" w14:textId="77777777" w:rsidR="00E77996" w:rsidRDefault="00E77996" w:rsidP="00933F40">
            <w:pPr>
              <w:widowControl w:val="0"/>
              <w:spacing w:line="240" w:lineRule="auto"/>
            </w:pPr>
            <w:r>
              <w:t>Date of meeting when version approved</w:t>
            </w:r>
          </w:p>
        </w:tc>
        <w:tc>
          <w:tcPr>
            <w:tcW w:w="4410" w:type="dxa"/>
            <w:shd w:val="clear" w:color="auto" w:fill="auto"/>
            <w:tcMar>
              <w:top w:w="100" w:type="dxa"/>
              <w:left w:w="100" w:type="dxa"/>
              <w:bottom w:w="100" w:type="dxa"/>
              <w:right w:w="100" w:type="dxa"/>
            </w:tcMar>
          </w:tcPr>
          <w:p w14:paraId="37644F18" w14:textId="3A8DE6FA" w:rsidR="00E77996" w:rsidRDefault="00434A9B" w:rsidP="00933F40">
            <w:pPr>
              <w:widowControl w:val="0"/>
              <w:spacing w:line="240" w:lineRule="auto"/>
            </w:pPr>
            <w:r>
              <w:t>22 Jul</w:t>
            </w:r>
            <w:r w:rsidR="7039B66A">
              <w:t>y 2024</w:t>
            </w:r>
          </w:p>
        </w:tc>
      </w:tr>
      <w:tr w:rsidR="00434A9B" w14:paraId="1EDB17A0" w14:textId="77777777" w:rsidTr="004043C1">
        <w:tc>
          <w:tcPr>
            <w:tcW w:w="9000" w:type="dxa"/>
            <w:gridSpan w:val="2"/>
            <w:shd w:val="clear" w:color="auto" w:fill="auto"/>
            <w:tcMar>
              <w:top w:w="100" w:type="dxa"/>
              <w:left w:w="100" w:type="dxa"/>
              <w:bottom w:w="100" w:type="dxa"/>
              <w:right w:w="100" w:type="dxa"/>
            </w:tcMar>
          </w:tcPr>
          <w:p w14:paraId="033EABC1" w14:textId="77777777" w:rsidR="00434A9B" w:rsidRDefault="00434A9B" w:rsidP="00596F42">
            <w:pPr>
              <w:widowControl w:val="0"/>
              <w:spacing w:line="240" w:lineRule="auto"/>
            </w:pPr>
          </w:p>
          <w:p w14:paraId="164FCEB4" w14:textId="77777777" w:rsidR="00434A9B" w:rsidRDefault="00434A9B" w:rsidP="00596F42">
            <w:pPr>
              <w:widowControl w:val="0"/>
              <w:spacing w:line="240" w:lineRule="auto"/>
            </w:pPr>
          </w:p>
          <w:p w14:paraId="0EB97CBA" w14:textId="77777777" w:rsidR="00434A9B" w:rsidRDefault="00434A9B" w:rsidP="00596F42">
            <w:pPr>
              <w:widowControl w:val="0"/>
              <w:spacing w:line="240" w:lineRule="auto"/>
            </w:pPr>
            <w:r>
              <w:t>Signed:</w:t>
            </w:r>
          </w:p>
          <w:p w14:paraId="7CF2B1ED" w14:textId="77777777" w:rsidR="00434A9B" w:rsidRDefault="00434A9B" w:rsidP="00596F42">
            <w:pPr>
              <w:widowControl w:val="0"/>
              <w:spacing w:line="240" w:lineRule="auto"/>
            </w:pPr>
          </w:p>
          <w:p w14:paraId="05A0C072" w14:textId="77777777" w:rsidR="00434A9B" w:rsidRDefault="00434A9B" w:rsidP="00596F42">
            <w:pPr>
              <w:widowControl w:val="0"/>
              <w:spacing w:line="240" w:lineRule="auto"/>
            </w:pPr>
          </w:p>
          <w:p w14:paraId="6D883EB8" w14:textId="4E39FC7C" w:rsidR="00434A9B" w:rsidRDefault="00434A9B" w:rsidP="00596F42">
            <w:pPr>
              <w:widowControl w:val="0"/>
              <w:spacing w:line="240" w:lineRule="auto"/>
            </w:pPr>
            <w:r>
              <w:t>Date:</w:t>
            </w:r>
          </w:p>
        </w:tc>
      </w:tr>
      <w:tr w:rsidR="00E77996" w14:paraId="5D9E218C" w14:textId="77777777" w:rsidTr="1A3DA4D0">
        <w:tc>
          <w:tcPr>
            <w:tcW w:w="4590" w:type="dxa"/>
            <w:shd w:val="clear" w:color="auto" w:fill="auto"/>
            <w:tcMar>
              <w:top w:w="100" w:type="dxa"/>
              <w:left w:w="100" w:type="dxa"/>
              <w:bottom w:w="100" w:type="dxa"/>
              <w:right w:w="100" w:type="dxa"/>
            </w:tcMar>
          </w:tcPr>
          <w:p w14:paraId="5AAFF810" w14:textId="77777777" w:rsidR="00E77996" w:rsidRDefault="00E77996" w:rsidP="00933F40">
            <w:pPr>
              <w:widowControl w:val="0"/>
              <w:spacing w:line="240" w:lineRule="auto"/>
            </w:pPr>
            <w:r>
              <w:t>Date of next review</w:t>
            </w:r>
          </w:p>
        </w:tc>
        <w:tc>
          <w:tcPr>
            <w:tcW w:w="4410" w:type="dxa"/>
            <w:shd w:val="clear" w:color="auto" w:fill="auto"/>
            <w:tcMar>
              <w:top w:w="100" w:type="dxa"/>
              <w:left w:w="100" w:type="dxa"/>
              <w:bottom w:w="100" w:type="dxa"/>
              <w:right w:w="100" w:type="dxa"/>
            </w:tcMar>
          </w:tcPr>
          <w:p w14:paraId="2BCC7480" w14:textId="11BBE647" w:rsidR="00E77996" w:rsidRDefault="5BE1E928" w:rsidP="00933F40">
            <w:pPr>
              <w:widowControl w:val="0"/>
              <w:spacing w:line="240" w:lineRule="auto"/>
            </w:pPr>
            <w:r>
              <w:t>September 2025</w:t>
            </w:r>
          </w:p>
        </w:tc>
      </w:tr>
    </w:tbl>
    <w:p w14:paraId="1679E9E7" w14:textId="77777777" w:rsidR="00E77996" w:rsidRDefault="00E77996" w:rsidP="00E77996"/>
    <w:p w14:paraId="5E0F07ED" w14:textId="77777777" w:rsidR="00E77996" w:rsidRDefault="00E77996" w:rsidP="00E77996"/>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gridCol w:w="1110"/>
      </w:tblGrid>
      <w:tr w:rsidR="00E77996" w14:paraId="31F74306" w14:textId="77777777" w:rsidTr="1A3DA4D0">
        <w:tc>
          <w:tcPr>
            <w:tcW w:w="8010" w:type="dxa"/>
            <w:shd w:val="clear" w:color="auto" w:fill="F4CCCC"/>
            <w:tcMar>
              <w:top w:w="100" w:type="dxa"/>
              <w:left w:w="100" w:type="dxa"/>
              <w:bottom w:w="100" w:type="dxa"/>
              <w:right w:w="100" w:type="dxa"/>
            </w:tcMar>
          </w:tcPr>
          <w:p w14:paraId="01AFF41B" w14:textId="4A1E51D9" w:rsidR="00E77996" w:rsidRDefault="00E77996" w:rsidP="1A3DA4D0">
            <w:pPr>
              <w:widowControl w:val="0"/>
              <w:spacing w:line="240" w:lineRule="auto"/>
              <w:rPr>
                <w:b/>
                <w:bCs/>
              </w:rPr>
            </w:pPr>
            <w:r w:rsidRPr="1A3DA4D0">
              <w:rPr>
                <w:b/>
                <w:bCs/>
              </w:rPr>
              <w:t>Policy contents</w:t>
            </w:r>
          </w:p>
        </w:tc>
        <w:tc>
          <w:tcPr>
            <w:tcW w:w="1110" w:type="dxa"/>
            <w:shd w:val="clear" w:color="auto" w:fill="F4CCCC"/>
            <w:tcMar>
              <w:top w:w="100" w:type="dxa"/>
              <w:left w:w="100" w:type="dxa"/>
              <w:bottom w:w="100" w:type="dxa"/>
              <w:right w:w="100" w:type="dxa"/>
            </w:tcMar>
          </w:tcPr>
          <w:p w14:paraId="56345D97" w14:textId="77777777" w:rsidR="00E77996" w:rsidRDefault="00E77996" w:rsidP="00933F40">
            <w:pPr>
              <w:widowControl w:val="0"/>
              <w:spacing w:line="240" w:lineRule="auto"/>
              <w:rPr>
                <w:b/>
              </w:rPr>
            </w:pPr>
          </w:p>
        </w:tc>
      </w:tr>
      <w:tr w:rsidR="00E77996" w14:paraId="790CB8D9" w14:textId="77777777" w:rsidTr="1A3DA4D0">
        <w:trPr>
          <w:trHeight w:val="420"/>
        </w:trPr>
        <w:tc>
          <w:tcPr>
            <w:tcW w:w="8010" w:type="dxa"/>
            <w:shd w:val="clear" w:color="auto" w:fill="auto"/>
            <w:tcMar>
              <w:top w:w="100" w:type="dxa"/>
              <w:left w:w="100" w:type="dxa"/>
              <w:bottom w:w="100" w:type="dxa"/>
              <w:right w:w="100" w:type="dxa"/>
            </w:tcMar>
          </w:tcPr>
          <w:p w14:paraId="75D30D80" w14:textId="656DEEA7" w:rsidR="00E77996" w:rsidRDefault="00E77996" w:rsidP="004822A7">
            <w:pPr>
              <w:numPr>
                <w:ilvl w:val="0"/>
                <w:numId w:val="12"/>
              </w:numPr>
              <w:tabs>
                <w:tab w:val="right" w:pos="8790"/>
              </w:tabs>
              <w:spacing w:line="240" w:lineRule="auto"/>
              <w:ind w:left="714" w:hanging="357"/>
              <w:rPr>
                <w:b/>
                <w:bCs/>
              </w:rPr>
            </w:pPr>
            <w:r>
              <w:t>Purpose</w:t>
            </w:r>
          </w:p>
          <w:p w14:paraId="3CB9DCEA" w14:textId="77777777" w:rsidR="00E77996" w:rsidRDefault="00E77996" w:rsidP="004822A7">
            <w:pPr>
              <w:widowControl w:val="0"/>
              <w:numPr>
                <w:ilvl w:val="0"/>
                <w:numId w:val="15"/>
              </w:numPr>
              <w:spacing w:line="240" w:lineRule="auto"/>
            </w:pPr>
            <w:r>
              <w:t>Scope</w:t>
            </w:r>
            <w:r>
              <w:tab/>
            </w:r>
          </w:p>
          <w:p w14:paraId="415CC8C3" w14:textId="77777777" w:rsidR="00E77996" w:rsidRDefault="00E77996" w:rsidP="004822A7">
            <w:pPr>
              <w:widowControl w:val="0"/>
              <w:numPr>
                <w:ilvl w:val="0"/>
                <w:numId w:val="15"/>
              </w:numPr>
              <w:spacing w:line="240" w:lineRule="auto"/>
            </w:pPr>
            <w:r>
              <w:t>Policy statement, provision and safeguards</w:t>
            </w:r>
            <w:r>
              <w:tab/>
            </w:r>
          </w:p>
          <w:p w14:paraId="1F8EACD2" w14:textId="77777777" w:rsidR="00E77996" w:rsidRDefault="00E77996" w:rsidP="004822A7">
            <w:pPr>
              <w:widowControl w:val="0"/>
              <w:numPr>
                <w:ilvl w:val="0"/>
                <w:numId w:val="15"/>
              </w:numPr>
              <w:spacing w:line="240" w:lineRule="auto"/>
            </w:pPr>
            <w:r>
              <w:t>Curriculum content</w:t>
            </w:r>
            <w:r>
              <w:tab/>
            </w:r>
          </w:p>
          <w:p w14:paraId="3F88AECF" w14:textId="77777777" w:rsidR="00E77996" w:rsidRDefault="00E77996" w:rsidP="004822A7">
            <w:pPr>
              <w:widowControl w:val="0"/>
              <w:numPr>
                <w:ilvl w:val="0"/>
                <w:numId w:val="15"/>
              </w:numPr>
              <w:spacing w:line="240" w:lineRule="auto"/>
            </w:pPr>
            <w:r>
              <w:t>The seven required fields of knowledge (for independent schools)</w:t>
            </w:r>
            <w:r>
              <w:tab/>
            </w:r>
          </w:p>
          <w:p w14:paraId="79A70FB7" w14:textId="77777777" w:rsidR="00E77996" w:rsidRDefault="00E77996" w:rsidP="004822A7">
            <w:pPr>
              <w:widowControl w:val="0"/>
              <w:numPr>
                <w:ilvl w:val="0"/>
                <w:numId w:val="15"/>
              </w:numPr>
              <w:spacing w:line="240" w:lineRule="auto"/>
            </w:pPr>
            <w:r>
              <w:t>Numeracy and Literacy</w:t>
            </w:r>
            <w:r>
              <w:tab/>
            </w:r>
          </w:p>
          <w:p w14:paraId="1912DB7D" w14:textId="77777777" w:rsidR="00E77996" w:rsidRDefault="00E77996" w:rsidP="004822A7">
            <w:pPr>
              <w:widowControl w:val="0"/>
              <w:numPr>
                <w:ilvl w:val="0"/>
                <w:numId w:val="15"/>
              </w:numPr>
              <w:spacing w:line="240" w:lineRule="auto"/>
            </w:pPr>
            <w:r>
              <w:t>Spoken language</w:t>
            </w:r>
            <w:r>
              <w:tab/>
            </w:r>
          </w:p>
          <w:p w14:paraId="037B1591" w14:textId="77777777" w:rsidR="00E77996" w:rsidRDefault="00E77996" w:rsidP="004822A7">
            <w:pPr>
              <w:widowControl w:val="0"/>
              <w:numPr>
                <w:ilvl w:val="0"/>
                <w:numId w:val="15"/>
              </w:numPr>
              <w:spacing w:line="240" w:lineRule="auto"/>
            </w:pPr>
            <w:r>
              <w:t>Reading and writing</w:t>
            </w:r>
            <w:r>
              <w:tab/>
            </w:r>
          </w:p>
          <w:p w14:paraId="23F71646" w14:textId="77777777" w:rsidR="00E77996" w:rsidRDefault="00E77996" w:rsidP="004822A7">
            <w:pPr>
              <w:widowControl w:val="0"/>
              <w:numPr>
                <w:ilvl w:val="0"/>
                <w:numId w:val="15"/>
              </w:numPr>
              <w:spacing w:line="240" w:lineRule="auto"/>
            </w:pPr>
            <w:r>
              <w:t>Numeracy and mathematics</w:t>
            </w:r>
            <w:r>
              <w:tab/>
            </w:r>
          </w:p>
          <w:p w14:paraId="184DC2A1" w14:textId="4C339CAF" w:rsidR="00E77996" w:rsidRDefault="00E77996" w:rsidP="004822A7">
            <w:pPr>
              <w:widowControl w:val="0"/>
              <w:numPr>
                <w:ilvl w:val="0"/>
                <w:numId w:val="15"/>
              </w:numPr>
              <w:spacing w:line="240" w:lineRule="auto"/>
            </w:pPr>
            <w:r>
              <w:t>Individual timetable design</w:t>
            </w:r>
            <w:r>
              <w:tab/>
            </w:r>
            <w:r>
              <w:tab/>
            </w:r>
          </w:p>
          <w:p w14:paraId="7A304AAA" w14:textId="77777777" w:rsidR="00E77996" w:rsidRDefault="00E77996" w:rsidP="004822A7">
            <w:pPr>
              <w:widowControl w:val="0"/>
              <w:numPr>
                <w:ilvl w:val="0"/>
                <w:numId w:val="15"/>
              </w:numPr>
              <w:spacing w:line="240" w:lineRule="auto"/>
            </w:pPr>
            <w:r>
              <w:t>Careers guidance</w:t>
            </w:r>
            <w:r>
              <w:tab/>
            </w:r>
          </w:p>
          <w:p w14:paraId="29AD5418" w14:textId="77777777" w:rsidR="00E77996" w:rsidRDefault="00E77996" w:rsidP="004822A7">
            <w:pPr>
              <w:widowControl w:val="0"/>
              <w:numPr>
                <w:ilvl w:val="0"/>
                <w:numId w:val="15"/>
              </w:numPr>
              <w:spacing w:line="240" w:lineRule="auto"/>
            </w:pPr>
            <w:r>
              <w:t>The wellbeing curriculum</w:t>
            </w:r>
            <w:r>
              <w:tab/>
            </w:r>
          </w:p>
          <w:p w14:paraId="797FEBC4" w14:textId="77777777" w:rsidR="00E77996" w:rsidRDefault="00E77996" w:rsidP="004822A7">
            <w:pPr>
              <w:widowControl w:val="0"/>
              <w:numPr>
                <w:ilvl w:val="0"/>
                <w:numId w:val="15"/>
              </w:numPr>
              <w:spacing w:line="240" w:lineRule="auto"/>
            </w:pPr>
            <w:r>
              <w:t>Meeting the needs of SEN students</w:t>
            </w:r>
            <w:r>
              <w:tab/>
            </w:r>
          </w:p>
          <w:p w14:paraId="3B84B03F" w14:textId="77777777" w:rsidR="00E77996" w:rsidRDefault="00E77996" w:rsidP="004822A7">
            <w:pPr>
              <w:widowControl w:val="0"/>
              <w:numPr>
                <w:ilvl w:val="0"/>
                <w:numId w:val="15"/>
              </w:numPr>
              <w:spacing w:line="240" w:lineRule="auto"/>
            </w:pPr>
            <w:r>
              <w:t>What students learn from staff</w:t>
            </w:r>
            <w:r>
              <w:tab/>
            </w:r>
          </w:p>
          <w:p w14:paraId="6C6A260B" w14:textId="77777777" w:rsidR="00E77996" w:rsidRDefault="00E77996" w:rsidP="004822A7">
            <w:pPr>
              <w:widowControl w:val="0"/>
              <w:numPr>
                <w:ilvl w:val="0"/>
                <w:numId w:val="15"/>
              </w:numPr>
              <w:spacing w:line="240" w:lineRule="auto"/>
            </w:pPr>
            <w:r>
              <w:t>Core Curriculum entitlement</w:t>
            </w:r>
            <w:r>
              <w:tab/>
            </w:r>
          </w:p>
          <w:p w14:paraId="3F4266F0" w14:textId="77777777" w:rsidR="00E77996" w:rsidRDefault="00E77996" w:rsidP="004822A7">
            <w:pPr>
              <w:widowControl w:val="0"/>
              <w:numPr>
                <w:ilvl w:val="0"/>
                <w:numId w:val="15"/>
              </w:numPr>
              <w:spacing w:line="240" w:lineRule="auto"/>
            </w:pPr>
            <w:r>
              <w:t>Legislation/guidance that informs this document</w:t>
            </w:r>
            <w:r>
              <w:tab/>
            </w:r>
          </w:p>
          <w:p w14:paraId="7173D13D" w14:textId="77777777" w:rsidR="00E77996" w:rsidRDefault="00E77996" w:rsidP="004822A7">
            <w:pPr>
              <w:widowControl w:val="0"/>
              <w:numPr>
                <w:ilvl w:val="0"/>
                <w:numId w:val="15"/>
              </w:numPr>
              <w:spacing w:line="240" w:lineRule="auto"/>
            </w:pPr>
            <w:r>
              <w:t>Other Red Balloon policies that should be read in conjunction with this one</w:t>
            </w:r>
            <w:r>
              <w:tab/>
            </w:r>
          </w:p>
        </w:tc>
        <w:tc>
          <w:tcPr>
            <w:tcW w:w="1110" w:type="dxa"/>
            <w:shd w:val="clear" w:color="auto" w:fill="auto"/>
            <w:tcMar>
              <w:top w:w="100" w:type="dxa"/>
              <w:left w:w="100" w:type="dxa"/>
              <w:bottom w:w="100" w:type="dxa"/>
              <w:right w:w="100" w:type="dxa"/>
            </w:tcMar>
          </w:tcPr>
          <w:p w14:paraId="032EF904" w14:textId="229EE1BE" w:rsidR="00E77996" w:rsidRDefault="004822A7" w:rsidP="004822A7">
            <w:pPr>
              <w:tabs>
                <w:tab w:val="right" w:pos="8790"/>
              </w:tabs>
              <w:spacing w:before="60" w:line="240" w:lineRule="auto"/>
            </w:pPr>
            <w:r>
              <w:t>2</w:t>
            </w:r>
          </w:p>
          <w:p w14:paraId="3C13B8A3" w14:textId="74E7E693" w:rsidR="00E77996" w:rsidRDefault="004822A7" w:rsidP="004822A7">
            <w:pPr>
              <w:tabs>
                <w:tab w:val="right" w:pos="8790"/>
              </w:tabs>
              <w:spacing w:line="240" w:lineRule="auto"/>
              <w:ind w:left="357" w:hanging="357"/>
            </w:pPr>
            <w:r>
              <w:t>2</w:t>
            </w:r>
          </w:p>
          <w:p w14:paraId="5B9F292C" w14:textId="42C36D50" w:rsidR="00E77996" w:rsidRDefault="004822A7" w:rsidP="004822A7">
            <w:pPr>
              <w:tabs>
                <w:tab w:val="right" w:pos="8790"/>
              </w:tabs>
              <w:spacing w:line="240" w:lineRule="auto"/>
              <w:ind w:left="357" w:hanging="357"/>
            </w:pPr>
            <w:r>
              <w:t>2</w:t>
            </w:r>
          </w:p>
          <w:p w14:paraId="03FB534E" w14:textId="77777777" w:rsidR="00E77996" w:rsidRDefault="00E77996" w:rsidP="004822A7">
            <w:pPr>
              <w:tabs>
                <w:tab w:val="right" w:pos="8790"/>
              </w:tabs>
              <w:spacing w:line="240" w:lineRule="auto"/>
              <w:ind w:left="357" w:hanging="357"/>
            </w:pPr>
            <w:r>
              <w:t>3</w:t>
            </w:r>
          </w:p>
          <w:p w14:paraId="5BB79467" w14:textId="5573A59B" w:rsidR="00E77996" w:rsidRDefault="004822A7" w:rsidP="004822A7">
            <w:pPr>
              <w:tabs>
                <w:tab w:val="right" w:pos="8790"/>
              </w:tabs>
              <w:spacing w:line="240" w:lineRule="auto"/>
              <w:ind w:left="357" w:hanging="357"/>
            </w:pPr>
            <w:r>
              <w:t>4</w:t>
            </w:r>
          </w:p>
          <w:p w14:paraId="2CC50EAF" w14:textId="77777777" w:rsidR="00E77996" w:rsidRDefault="00E77996" w:rsidP="004822A7">
            <w:pPr>
              <w:tabs>
                <w:tab w:val="right" w:pos="8790"/>
              </w:tabs>
              <w:spacing w:line="240" w:lineRule="auto"/>
              <w:ind w:left="357" w:hanging="357"/>
            </w:pPr>
            <w:r>
              <w:t>4</w:t>
            </w:r>
          </w:p>
          <w:p w14:paraId="1ED10C32" w14:textId="77777777" w:rsidR="00E77996" w:rsidRDefault="00E77996" w:rsidP="004822A7">
            <w:pPr>
              <w:tabs>
                <w:tab w:val="right" w:pos="8790"/>
              </w:tabs>
              <w:spacing w:line="240" w:lineRule="auto"/>
              <w:ind w:left="357" w:hanging="357"/>
            </w:pPr>
            <w:r>
              <w:t>4</w:t>
            </w:r>
          </w:p>
          <w:p w14:paraId="54CD8B9E" w14:textId="77777777" w:rsidR="00E77996" w:rsidRDefault="00E77996" w:rsidP="004822A7">
            <w:pPr>
              <w:tabs>
                <w:tab w:val="right" w:pos="8790"/>
              </w:tabs>
              <w:spacing w:line="240" w:lineRule="auto"/>
              <w:ind w:left="357" w:hanging="357"/>
            </w:pPr>
            <w:r>
              <w:t>4</w:t>
            </w:r>
          </w:p>
          <w:p w14:paraId="6C7201BD" w14:textId="68D6F10A" w:rsidR="00E77996" w:rsidRDefault="004822A7" w:rsidP="004822A7">
            <w:pPr>
              <w:tabs>
                <w:tab w:val="right" w:pos="8790"/>
              </w:tabs>
              <w:spacing w:line="240" w:lineRule="auto"/>
              <w:ind w:left="357" w:hanging="357"/>
            </w:pPr>
            <w:r>
              <w:t>5</w:t>
            </w:r>
          </w:p>
          <w:p w14:paraId="76EB2B02" w14:textId="76D49A78" w:rsidR="00E77996" w:rsidRDefault="00434A9B" w:rsidP="004822A7">
            <w:pPr>
              <w:tabs>
                <w:tab w:val="right" w:pos="8790"/>
              </w:tabs>
              <w:spacing w:line="240" w:lineRule="auto"/>
              <w:ind w:left="357" w:hanging="357"/>
            </w:pPr>
            <w:r>
              <w:t>5</w:t>
            </w:r>
          </w:p>
          <w:p w14:paraId="36DDE363" w14:textId="6B4EC6FC" w:rsidR="00E77996" w:rsidRDefault="004822A7" w:rsidP="004822A7">
            <w:pPr>
              <w:tabs>
                <w:tab w:val="right" w:pos="8790"/>
              </w:tabs>
              <w:spacing w:line="240" w:lineRule="auto"/>
              <w:ind w:left="357" w:hanging="357"/>
            </w:pPr>
            <w:r>
              <w:t>7</w:t>
            </w:r>
          </w:p>
          <w:p w14:paraId="796929F3" w14:textId="0FA741AD" w:rsidR="00E77996" w:rsidRDefault="00434A9B" w:rsidP="004822A7">
            <w:pPr>
              <w:tabs>
                <w:tab w:val="right" w:pos="8790"/>
              </w:tabs>
              <w:spacing w:line="240" w:lineRule="auto"/>
              <w:ind w:left="357" w:hanging="357"/>
            </w:pPr>
            <w:r>
              <w:t>7</w:t>
            </w:r>
          </w:p>
          <w:p w14:paraId="527B3913" w14:textId="01D1A956" w:rsidR="00E77996" w:rsidRDefault="00434A9B" w:rsidP="004822A7">
            <w:pPr>
              <w:tabs>
                <w:tab w:val="right" w:pos="8790"/>
              </w:tabs>
              <w:spacing w:line="240" w:lineRule="auto"/>
              <w:ind w:left="357" w:hanging="357"/>
            </w:pPr>
            <w:r>
              <w:t>7</w:t>
            </w:r>
          </w:p>
          <w:p w14:paraId="5C497A06" w14:textId="61B137A0" w:rsidR="00E77996" w:rsidRDefault="00434A9B" w:rsidP="004822A7">
            <w:pPr>
              <w:tabs>
                <w:tab w:val="right" w:pos="8790"/>
              </w:tabs>
              <w:spacing w:line="240" w:lineRule="auto"/>
              <w:ind w:left="357" w:hanging="357"/>
            </w:pPr>
            <w:r>
              <w:t>7</w:t>
            </w:r>
          </w:p>
          <w:p w14:paraId="09DB1625" w14:textId="6AB532BA" w:rsidR="00E77996" w:rsidRDefault="00434A9B" w:rsidP="004822A7">
            <w:pPr>
              <w:tabs>
                <w:tab w:val="right" w:pos="8790"/>
              </w:tabs>
              <w:spacing w:line="240" w:lineRule="auto"/>
              <w:ind w:left="357" w:hanging="357"/>
            </w:pPr>
            <w:r>
              <w:t>8</w:t>
            </w:r>
          </w:p>
          <w:p w14:paraId="4E66099A" w14:textId="41285FBD" w:rsidR="00E77996" w:rsidRDefault="00434A9B" w:rsidP="004822A7">
            <w:pPr>
              <w:tabs>
                <w:tab w:val="right" w:pos="8790"/>
              </w:tabs>
              <w:spacing w:line="240" w:lineRule="auto"/>
              <w:ind w:left="357" w:hanging="357"/>
            </w:pPr>
            <w:r>
              <w:t>8</w:t>
            </w:r>
          </w:p>
          <w:p w14:paraId="0AFF23CA" w14:textId="3BD8385A" w:rsidR="004822A7" w:rsidRDefault="00434A9B" w:rsidP="004822A7">
            <w:pPr>
              <w:tabs>
                <w:tab w:val="right" w:pos="8790"/>
              </w:tabs>
              <w:spacing w:line="240" w:lineRule="auto"/>
              <w:ind w:left="357" w:hanging="357"/>
            </w:pPr>
            <w:r>
              <w:t>8</w:t>
            </w:r>
          </w:p>
        </w:tc>
      </w:tr>
    </w:tbl>
    <w:p w14:paraId="781C4D12" w14:textId="77777777" w:rsidR="00E77996" w:rsidRDefault="00E77996" w:rsidP="00E77996"/>
    <w:p w14:paraId="6AEFE30B" w14:textId="77777777" w:rsidR="00E77996" w:rsidRDefault="00E77996" w:rsidP="0034553A">
      <w:pPr>
        <w:spacing w:before="240" w:after="120"/>
        <w:rPr>
          <w:b/>
        </w:rPr>
      </w:pPr>
      <w:r>
        <w:rPr>
          <w:b/>
        </w:rPr>
        <w:t>Purpose</w:t>
      </w:r>
    </w:p>
    <w:p w14:paraId="0FE60D51" w14:textId="5AE305E4" w:rsidR="00E77996" w:rsidRDefault="16B500F3" w:rsidP="0034553A">
      <w:pPr>
        <w:spacing w:before="120"/>
      </w:pPr>
      <w:r>
        <w:t xml:space="preserve">The </w:t>
      </w:r>
      <w:r w:rsidR="00E77996">
        <w:t>Head of Centre and t</w:t>
      </w:r>
      <w:r w:rsidR="6F7CF522">
        <w:t>he Local Governing Body (LGB)</w:t>
      </w:r>
      <w:r w:rsidR="00E77996">
        <w:t xml:space="preserve"> must ensure that all staff are able to </w:t>
      </w:r>
      <w:r w:rsidR="002A3895">
        <w:t xml:space="preserve">comply with </w:t>
      </w:r>
      <w:r w:rsidR="00E77996">
        <w:t>the policy described here. It is the responsibility of every member of staff to enable students to access appropriate learning opportunities within their subject area and support the holistic development of the individual, helping them to overcome the challenges they have previously faced in accessing education.</w:t>
      </w:r>
    </w:p>
    <w:p w14:paraId="07999AB2" w14:textId="65965F96" w:rsidR="00E77996" w:rsidRDefault="00E77996" w:rsidP="0034553A">
      <w:pPr>
        <w:spacing w:before="120"/>
      </w:pPr>
      <w:r>
        <w:t xml:space="preserve">This policy enshrines the central philosophy of the “negotiated curriculum” - the process by which students are encouraged to take control of their own learning and the vehicle through which a broad range of essential skills, knowledge and attributes is </w:t>
      </w:r>
      <w:r w:rsidR="0034553A">
        <w:t>acquir</w:t>
      </w:r>
      <w:r>
        <w:t>ed.</w:t>
      </w:r>
    </w:p>
    <w:p w14:paraId="1498A481" w14:textId="77777777" w:rsidR="00E77996" w:rsidRDefault="00E77996" w:rsidP="0034553A">
      <w:pPr>
        <w:spacing w:before="240" w:after="120"/>
        <w:rPr>
          <w:b/>
        </w:rPr>
      </w:pPr>
      <w:r>
        <w:rPr>
          <w:b/>
        </w:rPr>
        <w:t>Scope</w:t>
      </w:r>
    </w:p>
    <w:p w14:paraId="3EEBA050" w14:textId="77BA449A" w:rsidR="00E77996" w:rsidRDefault="7A6E9D3D" w:rsidP="0034553A">
      <w:pPr>
        <w:spacing w:before="120"/>
        <w:rPr>
          <w:rFonts w:ascii="Times New Roman" w:eastAsia="Times New Roman" w:hAnsi="Times New Roman" w:cs="Times New Roman"/>
        </w:rPr>
      </w:pPr>
      <w:r>
        <w:t>RBET-Aylesbury</w:t>
      </w:r>
      <w:r w:rsidR="00E77996">
        <w:t xml:space="preserve"> provides for approximately 20 students on site. The reason for referral to a Centre is that the young person has reached a crisis point in accessing education and requires alternative provision for a period of time.</w:t>
      </w:r>
      <w:r w:rsidR="4876242F">
        <w:t xml:space="preserve"> </w:t>
      </w:r>
      <w:r w:rsidR="00E77996">
        <w:t xml:space="preserve">Thus </w:t>
      </w:r>
      <w:r>
        <w:t>RBET-Aylesbury</w:t>
      </w:r>
      <w:r w:rsidR="00E77996">
        <w:t xml:space="preserve"> seeks to:</w:t>
      </w:r>
    </w:p>
    <w:p w14:paraId="7071E06C" w14:textId="77777777" w:rsidR="00E77996" w:rsidRDefault="00E77996" w:rsidP="002A3895">
      <w:pPr>
        <w:numPr>
          <w:ilvl w:val="0"/>
          <w:numId w:val="16"/>
        </w:numPr>
        <w:spacing w:before="120"/>
        <w:ind w:left="924" w:hanging="357"/>
      </w:pPr>
      <w:r>
        <w:t>provide access to a broad and balanced curriculum that enables students to re-engage with education and catch up on missed learning;</w:t>
      </w:r>
    </w:p>
    <w:p w14:paraId="5BBB7463" w14:textId="77777777" w:rsidR="00E77996" w:rsidRDefault="00E77996" w:rsidP="002A3895">
      <w:pPr>
        <w:numPr>
          <w:ilvl w:val="0"/>
          <w:numId w:val="16"/>
        </w:numPr>
        <w:ind w:left="924" w:hanging="357"/>
      </w:pPr>
      <w:r>
        <w:t>enable students to develop a positive view of themselves as learners and members of society through a wellbeing curriculum;</w:t>
      </w:r>
    </w:p>
    <w:p w14:paraId="416CDC32" w14:textId="3DD72392" w:rsidR="00E77996" w:rsidRDefault="00E77996" w:rsidP="002A3895">
      <w:pPr>
        <w:numPr>
          <w:ilvl w:val="0"/>
          <w:numId w:val="16"/>
        </w:numPr>
        <w:ind w:left="924" w:hanging="357"/>
      </w:pPr>
      <w:r>
        <w:t xml:space="preserve">place the student voice at the heart of a bespoke learning provision – students are involved in negotiating their learning programme, evaluating their progress and planning future learning in </w:t>
      </w:r>
      <w:r w:rsidR="002A3895">
        <w:t>the l</w:t>
      </w:r>
      <w:r>
        <w:t>ight of that evaluation.</w:t>
      </w:r>
    </w:p>
    <w:p w14:paraId="5826435E" w14:textId="77777777" w:rsidR="00E77996" w:rsidRDefault="00E77996" w:rsidP="0034553A">
      <w:pPr>
        <w:spacing w:before="240" w:after="120"/>
        <w:rPr>
          <w:b/>
        </w:rPr>
      </w:pPr>
      <w:r>
        <w:rPr>
          <w:b/>
        </w:rPr>
        <w:t>Policy statement, provision and safeguards</w:t>
      </w:r>
    </w:p>
    <w:p w14:paraId="1CEA8B82" w14:textId="139AF2AA" w:rsidR="002A3895" w:rsidRDefault="002A3895" w:rsidP="002A3895">
      <w:pPr>
        <w:spacing w:before="120"/>
        <w:rPr>
          <w:rFonts w:ascii="Times New Roman" w:eastAsia="Times New Roman" w:hAnsi="Times New Roman" w:cs="Times New Roman"/>
        </w:rPr>
      </w:pPr>
      <w:r>
        <w:t>RBET-Aylesbury espouses the following precepts and values:</w:t>
      </w:r>
    </w:p>
    <w:p w14:paraId="6A835534" w14:textId="60F33950" w:rsidR="00E77996" w:rsidRDefault="00E77996" w:rsidP="002A3895">
      <w:pPr>
        <w:numPr>
          <w:ilvl w:val="0"/>
          <w:numId w:val="2"/>
        </w:numPr>
        <w:spacing w:before="120"/>
        <w:ind w:left="924" w:hanging="357"/>
      </w:pPr>
      <w:r>
        <w:rPr>
          <w:i/>
        </w:rPr>
        <w:t>worth</w:t>
      </w:r>
      <w:r>
        <w:t xml:space="preserve"> - all students should be treated as of equal value whatever their age, gender, gender reassignment, sexual orientation, pregnancy and maternity, race, ability, religion or belief, background or other characteristic</w:t>
      </w:r>
      <w:r w:rsidR="002A3895">
        <w:t>;</w:t>
      </w:r>
    </w:p>
    <w:p w14:paraId="4B68983D" w14:textId="77777777" w:rsidR="00E77996" w:rsidRDefault="00E77996" w:rsidP="002A3895">
      <w:pPr>
        <w:numPr>
          <w:ilvl w:val="0"/>
          <w:numId w:val="2"/>
        </w:numPr>
        <w:ind w:left="924" w:hanging="357"/>
      </w:pPr>
      <w:r>
        <w:rPr>
          <w:i/>
        </w:rPr>
        <w:t xml:space="preserve">equality </w:t>
      </w:r>
      <w:r>
        <w:t>- all students should have equal access to resources and opportunities;</w:t>
      </w:r>
    </w:p>
    <w:p w14:paraId="06A528AA" w14:textId="77777777" w:rsidR="00E77996" w:rsidRDefault="00E77996" w:rsidP="002A3895">
      <w:pPr>
        <w:numPr>
          <w:ilvl w:val="0"/>
          <w:numId w:val="2"/>
        </w:numPr>
        <w:ind w:left="924" w:hanging="357"/>
      </w:pPr>
      <w:r>
        <w:rPr>
          <w:i/>
        </w:rPr>
        <w:t xml:space="preserve">individuality – </w:t>
      </w:r>
      <w:r>
        <w:t>students have a right to learn in the way that best suits them and to contribute to the design of a curriculum that prepares them for the next stage of their education;</w:t>
      </w:r>
    </w:p>
    <w:p w14:paraId="0915C6B2" w14:textId="6DB56446" w:rsidR="00E77996" w:rsidRDefault="00E77996" w:rsidP="002A3895">
      <w:pPr>
        <w:numPr>
          <w:ilvl w:val="0"/>
          <w:numId w:val="2"/>
        </w:numPr>
        <w:ind w:left="924" w:hanging="357"/>
      </w:pPr>
      <w:r w:rsidRPr="1A3DA4D0">
        <w:rPr>
          <w:i/>
          <w:iCs/>
        </w:rPr>
        <w:t xml:space="preserve">FBVs – </w:t>
      </w:r>
      <w:r w:rsidR="7A6E9D3D">
        <w:t>RBET-Aylesbury</w:t>
      </w:r>
      <w:r>
        <w:t xml:space="preserve"> will work to actively promote fundamental British values (respect for the law, democracy, liberty, tolerance);</w:t>
      </w:r>
    </w:p>
    <w:p w14:paraId="23745256" w14:textId="77777777" w:rsidR="00E77996" w:rsidRDefault="00E77996" w:rsidP="002A3895">
      <w:pPr>
        <w:numPr>
          <w:ilvl w:val="0"/>
          <w:numId w:val="2"/>
        </w:numPr>
        <w:ind w:left="924" w:hanging="357"/>
      </w:pPr>
      <w:r>
        <w:rPr>
          <w:i/>
        </w:rPr>
        <w:t>the rights of students to:</w:t>
      </w:r>
    </w:p>
    <w:p w14:paraId="40878582" w14:textId="021F73B7" w:rsidR="00E77996" w:rsidRDefault="00E77996" w:rsidP="002A3895">
      <w:pPr>
        <w:numPr>
          <w:ilvl w:val="2"/>
          <w:numId w:val="17"/>
        </w:numPr>
        <w:ind w:left="1418"/>
      </w:pPr>
      <w:r w:rsidRPr="1A3DA4D0">
        <w:rPr>
          <w:i/>
          <w:iCs/>
        </w:rPr>
        <w:t>access learning that is pertinent to them and acknowledges their learning history</w:t>
      </w:r>
      <w:r>
        <w:t xml:space="preserve"> – </w:t>
      </w:r>
      <w:r w:rsidR="7A6E9D3D">
        <w:t>RBET-Aylesbury</w:t>
      </w:r>
      <w:r>
        <w:t xml:space="preserve"> builds on the previous positive learning experiences of students to negotiate new areas of learning;</w:t>
      </w:r>
    </w:p>
    <w:p w14:paraId="2A19A505" w14:textId="77777777" w:rsidR="00E77996" w:rsidRDefault="00E77996" w:rsidP="002A3895">
      <w:pPr>
        <w:numPr>
          <w:ilvl w:val="2"/>
          <w:numId w:val="17"/>
        </w:numPr>
        <w:ind w:left="1418"/>
      </w:pPr>
      <w:r>
        <w:rPr>
          <w:i/>
        </w:rPr>
        <w:t xml:space="preserve">grow emotionally and intellectually </w:t>
      </w:r>
      <w:r>
        <w:t>– what students learn should contribute to their emotional, physical, intellectual, and social growth, enabling them to develop and test their personal values and attitudes;</w:t>
      </w:r>
    </w:p>
    <w:p w14:paraId="34DC6DA9" w14:textId="77777777" w:rsidR="00E77996" w:rsidRDefault="00E77996" w:rsidP="002A3895">
      <w:pPr>
        <w:numPr>
          <w:ilvl w:val="2"/>
          <w:numId w:val="17"/>
        </w:numPr>
        <w:ind w:left="1418"/>
      </w:pPr>
      <w:r>
        <w:rPr>
          <w:i/>
        </w:rPr>
        <w:t>make informed decisions about their lifestyle choices</w:t>
      </w:r>
      <w:r>
        <w:t xml:space="preserve"> – students should be enabled to make positive decisions regarding their physical, emotional and sexual health.</w:t>
      </w:r>
    </w:p>
    <w:p w14:paraId="0767B2C2" w14:textId="220C2387" w:rsidR="00E77996" w:rsidRDefault="0034553A" w:rsidP="0034553A">
      <w:pPr>
        <w:spacing w:before="120"/>
        <w:rPr>
          <w:rFonts w:ascii="Times New Roman" w:eastAsia="Times New Roman" w:hAnsi="Times New Roman" w:cs="Times New Roman"/>
        </w:rPr>
      </w:pPr>
      <w:r>
        <w:lastRenderedPageBreak/>
        <w:t>RBET-Aylesbury</w:t>
      </w:r>
      <w:r w:rsidR="00E77996">
        <w:t xml:space="preserve"> staff have to understand and work with the paradox that learning is extremely unlikely to take place until a young person feels emotionally ready and resilient enough to learn, yet successful learning will be a key factor in enabling them to develop maturity and resilience. </w:t>
      </w:r>
    </w:p>
    <w:p w14:paraId="30415F18" w14:textId="40922B09" w:rsidR="00E77996" w:rsidRDefault="002A3895" w:rsidP="00E77996">
      <w:pPr>
        <w:spacing w:before="120" w:line="240" w:lineRule="auto"/>
        <w:rPr>
          <w:rFonts w:ascii="Times New Roman" w:eastAsia="Times New Roman" w:hAnsi="Times New Roman" w:cs="Times New Roman"/>
        </w:rPr>
      </w:pPr>
      <w:r>
        <w:t>RBET-Aylesbury</w:t>
      </w:r>
      <w:r w:rsidR="00E77996">
        <w:t xml:space="preserve"> will work to support</w:t>
      </w:r>
      <w:r w:rsidR="0034553A">
        <w:t xml:space="preserve"> </w:t>
      </w:r>
      <w:r w:rsidR="00E77996">
        <w:t>students to:</w:t>
      </w:r>
    </w:p>
    <w:p w14:paraId="56E9F269" w14:textId="77777777" w:rsidR="00E77996" w:rsidRDefault="00E77996" w:rsidP="002A3895">
      <w:pPr>
        <w:numPr>
          <w:ilvl w:val="0"/>
          <w:numId w:val="10"/>
        </w:numPr>
        <w:spacing w:before="120"/>
        <w:ind w:left="924" w:hanging="357"/>
      </w:pPr>
      <w:r>
        <w:t>be healthy, and make informed decisions to maintain personal health;</w:t>
      </w:r>
    </w:p>
    <w:p w14:paraId="6805860D" w14:textId="77777777" w:rsidR="00E77996" w:rsidRDefault="00E77996" w:rsidP="002A3895">
      <w:pPr>
        <w:numPr>
          <w:ilvl w:val="0"/>
          <w:numId w:val="10"/>
        </w:numPr>
        <w:ind w:left="924" w:hanging="357"/>
      </w:pPr>
      <w:r>
        <w:t>stay safe, and respect the right of others to be safe;</w:t>
      </w:r>
    </w:p>
    <w:p w14:paraId="36F48DBF" w14:textId="77777777" w:rsidR="00E77996" w:rsidRDefault="00E77996" w:rsidP="002A3895">
      <w:pPr>
        <w:numPr>
          <w:ilvl w:val="0"/>
          <w:numId w:val="10"/>
        </w:numPr>
        <w:ind w:left="924" w:hanging="357"/>
      </w:pPr>
      <w:r>
        <w:t>enjoy and achieve;</w:t>
      </w:r>
    </w:p>
    <w:p w14:paraId="5EEE96E0" w14:textId="366C5DCC" w:rsidR="00E77996" w:rsidRDefault="00E77996" w:rsidP="002A3895">
      <w:pPr>
        <w:numPr>
          <w:ilvl w:val="0"/>
          <w:numId w:val="10"/>
        </w:numPr>
        <w:ind w:left="924" w:hanging="357"/>
      </w:pPr>
      <w:r>
        <w:t xml:space="preserve">make a positive contribution across their </w:t>
      </w:r>
      <w:r w:rsidR="002A3895">
        <w:t>c</w:t>
      </w:r>
      <w:r>
        <w:t>ommunity;</w:t>
      </w:r>
    </w:p>
    <w:p w14:paraId="021EFBF3" w14:textId="76573BC4" w:rsidR="00E77996" w:rsidRDefault="00E77996" w:rsidP="002A3895">
      <w:pPr>
        <w:numPr>
          <w:ilvl w:val="0"/>
          <w:numId w:val="10"/>
        </w:numPr>
        <w:ind w:left="924" w:hanging="357"/>
      </w:pPr>
      <w:r>
        <w:t>achieve independence and economic wellbeing.</w:t>
      </w:r>
    </w:p>
    <w:p w14:paraId="1613ACBA" w14:textId="77777777" w:rsidR="00E77996" w:rsidRDefault="00E77996" w:rsidP="0034553A">
      <w:pPr>
        <w:spacing w:before="240" w:after="120"/>
        <w:rPr>
          <w:b/>
        </w:rPr>
      </w:pPr>
      <w:bookmarkStart w:id="1" w:name="_3vac5uf" w:colFirst="0" w:colLast="0"/>
      <w:bookmarkEnd w:id="1"/>
      <w:r>
        <w:rPr>
          <w:b/>
        </w:rPr>
        <w:t>Curriculum content</w:t>
      </w:r>
    </w:p>
    <w:p w14:paraId="0BD62B5F" w14:textId="157EB7D8" w:rsidR="00E77996" w:rsidRDefault="00E77996" w:rsidP="00E77996">
      <w:pPr>
        <w:spacing w:before="120" w:line="240" w:lineRule="auto"/>
        <w:rPr>
          <w:rFonts w:ascii="Times New Roman" w:eastAsia="Times New Roman" w:hAnsi="Times New Roman" w:cs="Times New Roman"/>
        </w:rPr>
      </w:pPr>
      <w:r>
        <w:t>Our core intentions through curriculum delivery are to:</w:t>
      </w:r>
    </w:p>
    <w:p w14:paraId="324AA026" w14:textId="77777777" w:rsidR="00E77996" w:rsidRDefault="00E77996" w:rsidP="002A3895">
      <w:pPr>
        <w:numPr>
          <w:ilvl w:val="0"/>
          <w:numId w:val="1"/>
        </w:numPr>
        <w:spacing w:before="120"/>
        <w:ind w:left="924" w:hanging="357"/>
      </w:pPr>
      <w:r>
        <w:t>offer bespoke provision to each student;</w:t>
      </w:r>
    </w:p>
    <w:p w14:paraId="73EE93F7" w14:textId="77777777" w:rsidR="00E77996" w:rsidRDefault="00E77996" w:rsidP="002A3895">
      <w:pPr>
        <w:numPr>
          <w:ilvl w:val="0"/>
          <w:numId w:val="1"/>
        </w:numPr>
        <w:ind w:left="924" w:hanging="357"/>
      </w:pPr>
      <w:r>
        <w:t>ensure that students’ emotional needs are met so that they are ‘ready to learn’;</w:t>
      </w:r>
    </w:p>
    <w:p w14:paraId="22AF537B" w14:textId="77777777" w:rsidR="00E77996" w:rsidRDefault="00E77996" w:rsidP="002A3895">
      <w:pPr>
        <w:numPr>
          <w:ilvl w:val="0"/>
          <w:numId w:val="1"/>
        </w:numPr>
        <w:ind w:left="924" w:hanging="357"/>
      </w:pPr>
      <w:r>
        <w:t>prepare a student for successful transition (to next placement);</w:t>
      </w:r>
    </w:p>
    <w:p w14:paraId="3B226D20" w14:textId="2495C1B5" w:rsidR="00E77996" w:rsidRDefault="00E77996" w:rsidP="002A3895">
      <w:pPr>
        <w:numPr>
          <w:ilvl w:val="0"/>
          <w:numId w:val="1"/>
        </w:numPr>
        <w:ind w:left="924" w:hanging="357"/>
      </w:pPr>
      <w:r>
        <w:t xml:space="preserve">(where a student’s aim is to return to mainstream) ensure that </w:t>
      </w:r>
      <w:r w:rsidR="002A3895">
        <w:t>they</w:t>
      </w:r>
      <w:r>
        <w:t xml:space="preserve"> stud</w:t>
      </w:r>
      <w:r w:rsidR="002A3895">
        <w:t>y</w:t>
      </w:r>
      <w:r>
        <w:t xml:space="preserve"> the relevant curriculum so that </w:t>
      </w:r>
      <w:r w:rsidR="002A3895">
        <w:t>they are</w:t>
      </w:r>
      <w:r>
        <w:t xml:space="preserve"> able to learn alongside </w:t>
      </w:r>
      <w:r w:rsidR="002A3895">
        <w:t>their</w:t>
      </w:r>
      <w:r>
        <w:t xml:space="preserve"> mainstream peers upon return;</w:t>
      </w:r>
    </w:p>
    <w:p w14:paraId="32C13D7E" w14:textId="616438ED" w:rsidR="00E77996" w:rsidRDefault="00E77996" w:rsidP="002A3895">
      <w:pPr>
        <w:numPr>
          <w:ilvl w:val="0"/>
          <w:numId w:val="1"/>
        </w:numPr>
        <w:ind w:left="924" w:hanging="357"/>
      </w:pPr>
      <w:r>
        <w:t xml:space="preserve">(where a student is to complete KS4 courses) ensure that an appropriate range of study and qualification is available so that </w:t>
      </w:r>
      <w:r w:rsidR="002A3895">
        <w:t>they</w:t>
      </w:r>
      <w:r>
        <w:t xml:space="preserve"> will have the skills, knowledge and qualifications required to progress into </w:t>
      </w:r>
      <w:r w:rsidR="002A3895">
        <w:t>their</w:t>
      </w:r>
      <w:r>
        <w:t xml:space="preserve"> desired KS5 placement.</w:t>
      </w:r>
    </w:p>
    <w:p w14:paraId="3A60CE96" w14:textId="540BBE41" w:rsidR="00E77996" w:rsidRDefault="00E77996" w:rsidP="0034553A">
      <w:pPr>
        <w:spacing w:before="120"/>
        <w:rPr>
          <w:rFonts w:ascii="Times New Roman" w:eastAsia="Times New Roman" w:hAnsi="Times New Roman" w:cs="Times New Roman"/>
        </w:rPr>
      </w:pPr>
      <w:r>
        <w:t>The curriculum will ensure opportunities are created that:</w:t>
      </w:r>
    </w:p>
    <w:p w14:paraId="2EE212BB" w14:textId="77777777" w:rsidR="00E77996" w:rsidRDefault="00E77996" w:rsidP="002A3895">
      <w:pPr>
        <w:numPr>
          <w:ilvl w:val="0"/>
          <w:numId w:val="4"/>
        </w:numPr>
        <w:spacing w:before="120"/>
        <w:ind w:left="924" w:hanging="357"/>
      </w:pPr>
      <w:r>
        <w:t>include the core subjects of Mathematics, English, and Science, unless there are compelling reasons not to do so for a particular student;</w:t>
      </w:r>
    </w:p>
    <w:p w14:paraId="31F5594A" w14:textId="77777777" w:rsidR="00E77996" w:rsidRDefault="00E77996" w:rsidP="002A3895">
      <w:pPr>
        <w:numPr>
          <w:ilvl w:val="0"/>
          <w:numId w:val="4"/>
        </w:numPr>
        <w:ind w:left="924" w:hanging="357"/>
      </w:pPr>
      <w:r>
        <w:t>ensure that all students develop skills in computing; </w:t>
      </w:r>
    </w:p>
    <w:p w14:paraId="2C6F3F0E" w14:textId="66BB084E" w:rsidR="00E77996" w:rsidRDefault="00E77996" w:rsidP="002A3895">
      <w:pPr>
        <w:numPr>
          <w:ilvl w:val="0"/>
          <w:numId w:val="4"/>
        </w:numPr>
        <w:ind w:left="924" w:hanging="357"/>
      </w:pPr>
      <w:r>
        <w:t>utili</w:t>
      </w:r>
      <w:r w:rsidR="002A3895">
        <w:t>s</w:t>
      </w:r>
      <w:r>
        <w:t>e technology effectively to support learning in all areas of the curriculum;</w:t>
      </w:r>
    </w:p>
    <w:p w14:paraId="42D2C764" w14:textId="35E8452C" w:rsidR="00E77996" w:rsidRDefault="00E77996" w:rsidP="002A3895">
      <w:pPr>
        <w:numPr>
          <w:ilvl w:val="0"/>
          <w:numId w:val="4"/>
        </w:numPr>
        <w:ind w:left="924" w:hanging="357"/>
      </w:pPr>
      <w:r>
        <w:t>include a comprehensive programme of PSHE</w:t>
      </w:r>
      <w:r w:rsidR="002A3895">
        <w:t>E</w:t>
      </w:r>
      <w:r>
        <w:t>(as a key part of the ‘wellbeing programme</w:t>
      </w:r>
      <w:r w:rsidR="002A3895">
        <w:t>’</w:t>
      </w:r>
      <w:r>
        <w:t>);</w:t>
      </w:r>
    </w:p>
    <w:p w14:paraId="2B380FDC" w14:textId="77777777" w:rsidR="00E77996" w:rsidRDefault="00E77996" w:rsidP="002A3895">
      <w:pPr>
        <w:numPr>
          <w:ilvl w:val="0"/>
          <w:numId w:val="4"/>
        </w:numPr>
        <w:ind w:left="924" w:hanging="357"/>
      </w:pPr>
      <w:r>
        <w:t>offer access to further subjects of a student’s interest, wherever possible;</w:t>
      </w:r>
    </w:p>
    <w:p w14:paraId="20C53E2B" w14:textId="77777777" w:rsidR="00E77996" w:rsidRDefault="00E77996" w:rsidP="002A3895">
      <w:pPr>
        <w:numPr>
          <w:ilvl w:val="0"/>
          <w:numId w:val="4"/>
        </w:numPr>
        <w:ind w:left="924" w:hanging="357"/>
      </w:pPr>
      <w:r>
        <w:t>include broader elements of spiritual, moral, cultural, ethical and social development – this will include active promotion of the fundamental British values of democracy, the rule of law, individual liberty, and mutual respect and tolerance of those with different faiths and beliefs;</w:t>
      </w:r>
    </w:p>
    <w:p w14:paraId="49EEC9E4" w14:textId="77777777" w:rsidR="00E77996" w:rsidRDefault="00E77996" w:rsidP="002A3895">
      <w:pPr>
        <w:numPr>
          <w:ilvl w:val="0"/>
          <w:numId w:val="4"/>
        </w:numPr>
        <w:ind w:left="924" w:hanging="357"/>
      </w:pPr>
      <w:r>
        <w:t>provide access to aesthetic and practical experiences;</w:t>
      </w:r>
    </w:p>
    <w:p w14:paraId="68C41A99" w14:textId="77777777" w:rsidR="00E77996" w:rsidRDefault="00E77996" w:rsidP="002A3895">
      <w:pPr>
        <w:numPr>
          <w:ilvl w:val="0"/>
          <w:numId w:val="4"/>
        </w:numPr>
        <w:ind w:left="924" w:hanging="357"/>
      </w:pPr>
      <w:r>
        <w:t>provide opportunities to engage in planned physical or other activities for personal and social development as well as for their intrinsic value;</w:t>
      </w:r>
    </w:p>
    <w:p w14:paraId="463D5991" w14:textId="77777777" w:rsidR="00E77996" w:rsidRDefault="00E77996" w:rsidP="002A3895">
      <w:pPr>
        <w:numPr>
          <w:ilvl w:val="0"/>
          <w:numId w:val="4"/>
        </w:numPr>
        <w:ind w:left="924" w:hanging="357"/>
      </w:pPr>
      <w:r>
        <w:t>provide appropriate career planning and guidance;</w:t>
      </w:r>
    </w:p>
    <w:p w14:paraId="3AA1DE6D" w14:textId="77777777" w:rsidR="00E77996" w:rsidRDefault="00E77996" w:rsidP="002A3895">
      <w:pPr>
        <w:numPr>
          <w:ilvl w:val="0"/>
          <w:numId w:val="4"/>
        </w:numPr>
        <w:ind w:left="924" w:hanging="357"/>
      </w:pPr>
      <w:r>
        <w:t>provide students with a broad general knowledge of public institutions and services in England;</w:t>
      </w:r>
    </w:p>
    <w:p w14:paraId="6EDED1C3" w14:textId="77777777" w:rsidR="00E77996" w:rsidRDefault="00E77996" w:rsidP="002A3895">
      <w:pPr>
        <w:numPr>
          <w:ilvl w:val="0"/>
          <w:numId w:val="4"/>
        </w:numPr>
        <w:ind w:left="924" w:hanging="357"/>
      </w:pPr>
      <w:r>
        <w:t>encompass opportunities for independent work according to students’ age, ability and aptitude.</w:t>
      </w:r>
    </w:p>
    <w:p w14:paraId="7DFA47B2" w14:textId="77777777" w:rsidR="00ED3A50" w:rsidRDefault="00ED3A50" w:rsidP="00E77996">
      <w:pPr>
        <w:rPr>
          <w:rFonts w:ascii="Times New Roman" w:eastAsia="Times New Roman" w:hAnsi="Times New Roman" w:cs="Times New Roman"/>
        </w:rPr>
      </w:pPr>
    </w:p>
    <w:p w14:paraId="0476D820" w14:textId="77777777" w:rsidR="00ED3A50" w:rsidRDefault="00ED3A50" w:rsidP="00E77996">
      <w:pPr>
        <w:rPr>
          <w:rFonts w:ascii="Times New Roman" w:eastAsia="Times New Roman" w:hAnsi="Times New Roman" w:cs="Times New Roman"/>
        </w:rPr>
      </w:pPr>
    </w:p>
    <w:p w14:paraId="6EA62248" w14:textId="77777777" w:rsidR="00ED3A50" w:rsidRDefault="00ED3A50" w:rsidP="00E77996">
      <w:pPr>
        <w:rPr>
          <w:rFonts w:ascii="Times New Roman" w:eastAsia="Times New Roman" w:hAnsi="Times New Roman" w:cs="Times New Roman"/>
        </w:rPr>
      </w:pPr>
    </w:p>
    <w:p w14:paraId="5CEA35C3" w14:textId="77777777" w:rsidR="00ED3A50" w:rsidRDefault="00ED3A50" w:rsidP="00E77996">
      <w:pPr>
        <w:rPr>
          <w:rFonts w:ascii="Times New Roman" w:eastAsia="Times New Roman" w:hAnsi="Times New Roman" w:cs="Times New Roman"/>
        </w:rPr>
      </w:pPr>
    </w:p>
    <w:p w14:paraId="20C104A5" w14:textId="77777777" w:rsidR="00ED3A50" w:rsidRDefault="00ED3A50" w:rsidP="00E77996">
      <w:pPr>
        <w:rPr>
          <w:rFonts w:ascii="Times New Roman" w:eastAsia="Times New Roman" w:hAnsi="Times New Roman" w:cs="Times New Roman"/>
        </w:rPr>
      </w:pPr>
    </w:p>
    <w:p w14:paraId="393B595B" w14:textId="77777777" w:rsidR="00ED3A50" w:rsidRDefault="00ED3A50" w:rsidP="00E77996">
      <w:pPr>
        <w:rPr>
          <w:rFonts w:ascii="Times New Roman" w:eastAsia="Times New Roman" w:hAnsi="Times New Roman" w:cs="Times New Roman"/>
        </w:rPr>
      </w:pPr>
    </w:p>
    <w:p w14:paraId="39738D3F" w14:textId="27DBE05F" w:rsidR="00E77996" w:rsidRPr="00ED3A50" w:rsidRDefault="00E77996" w:rsidP="00ED3A50">
      <w:pPr>
        <w:jc w:val="center"/>
        <w:rPr>
          <w:b/>
          <w:bCs/>
        </w:rPr>
      </w:pPr>
      <w:r w:rsidRPr="00ED3A50">
        <w:rPr>
          <w:b/>
          <w:bCs/>
        </w:rPr>
        <w:t>The seven required fields of knowledge (for independent schools)</w:t>
      </w:r>
    </w:p>
    <w:p w14:paraId="20FE6CCD" w14:textId="77777777" w:rsidR="00E77996" w:rsidRDefault="00E77996" w:rsidP="00E77996">
      <w:pPr>
        <w:spacing w:line="240" w:lineRule="auto"/>
        <w:rPr>
          <w:rFonts w:ascii="Times New Roman" w:eastAsia="Times New Roman" w:hAnsi="Times New Roman" w:cs="Times New Roman"/>
        </w:rPr>
      </w:pPr>
    </w:p>
    <w:tbl>
      <w:tblPr>
        <w:tblW w:w="9016" w:type="dxa"/>
        <w:tblInd w:w="-108" w:type="dxa"/>
        <w:tblLayout w:type="fixed"/>
        <w:tblLook w:val="0400" w:firstRow="0" w:lastRow="0" w:firstColumn="0" w:lastColumn="0" w:noHBand="0" w:noVBand="1"/>
      </w:tblPr>
      <w:tblGrid>
        <w:gridCol w:w="1870"/>
        <w:gridCol w:w="7146"/>
      </w:tblGrid>
      <w:tr w:rsidR="00E77996" w14:paraId="2B254030"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0AFD1" w14:textId="77777777" w:rsidR="00E77996" w:rsidRDefault="00E77996" w:rsidP="00933F40">
            <w:pPr>
              <w:spacing w:before="120" w:line="240" w:lineRule="auto"/>
              <w:jc w:val="center"/>
              <w:rPr>
                <w:rFonts w:ascii="Times New Roman" w:eastAsia="Times New Roman" w:hAnsi="Times New Roman" w:cs="Times New Roman"/>
              </w:rPr>
            </w:pPr>
            <w:r>
              <w:rPr>
                <w:b/>
              </w:rPr>
              <w:t>Subject area</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5B95F" w14:textId="77777777" w:rsidR="00E77996" w:rsidRDefault="00E77996" w:rsidP="00933F40">
            <w:pPr>
              <w:spacing w:before="120" w:line="240" w:lineRule="auto"/>
              <w:jc w:val="center"/>
              <w:rPr>
                <w:rFonts w:ascii="Times New Roman" w:eastAsia="Times New Roman" w:hAnsi="Times New Roman" w:cs="Times New Roman"/>
              </w:rPr>
            </w:pPr>
            <w:r>
              <w:rPr>
                <w:b/>
              </w:rPr>
              <w:t>General description and requirements</w:t>
            </w:r>
          </w:p>
        </w:tc>
      </w:tr>
      <w:tr w:rsidR="00E77996" w14:paraId="38895626"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C40A3" w14:textId="77777777" w:rsidR="00E77996" w:rsidRDefault="00E77996" w:rsidP="00ED3A50">
            <w:pPr>
              <w:spacing w:before="240"/>
              <w:jc w:val="center"/>
              <w:rPr>
                <w:rFonts w:ascii="Times New Roman" w:eastAsia="Times New Roman" w:hAnsi="Times New Roman" w:cs="Times New Roman"/>
              </w:rPr>
            </w:pPr>
            <w:r>
              <w:t>Maths</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886D5" w14:textId="77777777" w:rsidR="00E77996" w:rsidRDefault="00E77996" w:rsidP="00ED3A50">
            <w:pPr>
              <w:spacing w:before="120"/>
              <w:rPr>
                <w:rFonts w:ascii="Times New Roman" w:eastAsia="Times New Roman" w:hAnsi="Times New Roman" w:cs="Times New Roman"/>
              </w:rPr>
            </w:pPr>
            <w:r>
              <w:t>Make calculations, understand and appreciate relationships and patterns in number and space.</w:t>
            </w:r>
          </w:p>
        </w:tc>
      </w:tr>
      <w:tr w:rsidR="00E77996" w14:paraId="6A5EAD05"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AAF33" w14:textId="77777777" w:rsidR="00E77996" w:rsidRDefault="00E77996" w:rsidP="00ED3A50">
            <w:pPr>
              <w:spacing w:before="240"/>
              <w:jc w:val="center"/>
              <w:rPr>
                <w:rFonts w:ascii="Times New Roman" w:eastAsia="Times New Roman" w:hAnsi="Times New Roman" w:cs="Times New Roman"/>
              </w:rPr>
            </w:pPr>
            <w:r>
              <w:t>Linguistics</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FDE44" w14:textId="77777777" w:rsidR="00E77996" w:rsidRDefault="00E77996" w:rsidP="00ED3A50">
            <w:pPr>
              <w:spacing w:before="120"/>
              <w:rPr>
                <w:rFonts w:ascii="Times New Roman" w:eastAsia="Times New Roman" w:hAnsi="Times New Roman" w:cs="Times New Roman"/>
              </w:rPr>
            </w:pPr>
            <w:r>
              <w:t>Develop communication skills and increase command of language through listening, speaking, reading and writing.</w:t>
            </w:r>
          </w:p>
        </w:tc>
      </w:tr>
      <w:tr w:rsidR="00E77996" w14:paraId="4F818CC9"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07C3F" w14:textId="77777777" w:rsidR="00E77996" w:rsidRDefault="00E77996" w:rsidP="00ED3A50">
            <w:pPr>
              <w:spacing w:before="240"/>
              <w:jc w:val="center"/>
              <w:rPr>
                <w:rFonts w:ascii="Times New Roman" w:eastAsia="Times New Roman" w:hAnsi="Times New Roman" w:cs="Times New Roman"/>
              </w:rPr>
            </w:pPr>
            <w:r>
              <w:t>Scientific</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B5826" w14:textId="77777777" w:rsidR="00E77996" w:rsidRDefault="00E77996" w:rsidP="00ED3A50">
            <w:pPr>
              <w:spacing w:before="120"/>
              <w:rPr>
                <w:rFonts w:ascii="Times New Roman" w:eastAsia="Times New Roman" w:hAnsi="Times New Roman" w:cs="Times New Roman"/>
              </w:rPr>
            </w:pPr>
            <w:r>
              <w:t>Increase knowledge and understanding of living things, materials and physical processes.</w:t>
            </w:r>
          </w:p>
        </w:tc>
      </w:tr>
      <w:tr w:rsidR="00E77996" w14:paraId="50315873"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2D2E9" w14:textId="77777777" w:rsidR="00E77996" w:rsidRDefault="00E77996" w:rsidP="00ED3A50">
            <w:pPr>
              <w:spacing w:before="240"/>
              <w:jc w:val="center"/>
              <w:rPr>
                <w:rFonts w:ascii="Times New Roman" w:eastAsia="Times New Roman" w:hAnsi="Times New Roman" w:cs="Times New Roman"/>
              </w:rPr>
            </w:pPr>
            <w:r>
              <w:t>Technological</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210F4" w14:textId="77777777" w:rsidR="00E77996" w:rsidRDefault="00E77996" w:rsidP="00ED3A50">
            <w:pPr>
              <w:spacing w:before="120"/>
              <w:rPr>
                <w:rFonts w:ascii="Times New Roman" w:eastAsia="Times New Roman" w:hAnsi="Times New Roman" w:cs="Times New Roman"/>
              </w:rPr>
            </w:pPr>
            <w:r>
              <w:t>Use of ICT, working with tools, equipment and materials to produce good quality products.</w:t>
            </w:r>
          </w:p>
        </w:tc>
      </w:tr>
      <w:tr w:rsidR="00E77996" w14:paraId="7B71C91B"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B1EA1" w14:textId="77777777" w:rsidR="00E77996" w:rsidRDefault="00E77996" w:rsidP="00ED3A50">
            <w:pPr>
              <w:spacing w:before="120"/>
              <w:jc w:val="center"/>
              <w:rPr>
                <w:rFonts w:ascii="Times New Roman" w:eastAsia="Times New Roman" w:hAnsi="Times New Roman" w:cs="Times New Roman"/>
              </w:rPr>
            </w:pPr>
            <w:r>
              <w:t>Human and social</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2BAB6" w14:textId="77777777" w:rsidR="00E77996" w:rsidRDefault="00E77996" w:rsidP="00ED3A50">
            <w:pPr>
              <w:spacing w:before="120"/>
              <w:rPr>
                <w:rFonts w:ascii="Times New Roman" w:eastAsia="Times New Roman" w:hAnsi="Times New Roman" w:cs="Times New Roman"/>
              </w:rPr>
            </w:pPr>
            <w:r>
              <w:t>People and how they live, how human action now and in the past has influenced events and conditions.</w:t>
            </w:r>
          </w:p>
        </w:tc>
      </w:tr>
      <w:tr w:rsidR="00E77996" w14:paraId="367BCBE9"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0DB7" w14:textId="77777777" w:rsidR="00E77996" w:rsidRDefault="00E77996" w:rsidP="00ED3A50">
            <w:pPr>
              <w:spacing w:before="240"/>
              <w:jc w:val="center"/>
              <w:rPr>
                <w:rFonts w:ascii="Times New Roman" w:eastAsia="Times New Roman" w:hAnsi="Times New Roman" w:cs="Times New Roman"/>
              </w:rPr>
            </w:pPr>
            <w:r>
              <w:t>Physical</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3F787" w14:textId="77777777" w:rsidR="00E77996" w:rsidRDefault="00E77996" w:rsidP="00ED3A50">
            <w:pPr>
              <w:spacing w:before="120"/>
              <w:rPr>
                <w:rFonts w:ascii="Times New Roman" w:eastAsia="Times New Roman" w:hAnsi="Times New Roman" w:cs="Times New Roman"/>
              </w:rPr>
            </w:pPr>
            <w:r>
              <w:t>Develop physical control and coordination; acquire knowledge of basic principles of fitness and health.</w:t>
            </w:r>
          </w:p>
        </w:tc>
      </w:tr>
      <w:tr w:rsidR="00E77996" w14:paraId="617A4044" w14:textId="77777777" w:rsidTr="00933F40">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A89A1" w14:textId="77777777" w:rsidR="00E77996" w:rsidRDefault="00E77996" w:rsidP="00ED3A50">
            <w:pPr>
              <w:spacing w:before="480"/>
              <w:jc w:val="center"/>
              <w:rPr>
                <w:rFonts w:ascii="Times New Roman" w:eastAsia="Times New Roman" w:hAnsi="Times New Roman" w:cs="Times New Roman"/>
              </w:rPr>
            </w:pPr>
            <w:r>
              <w:t>Aesthetic and creative</w:t>
            </w:r>
          </w:p>
        </w:tc>
        <w:tc>
          <w:tcPr>
            <w:tcW w:w="7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B31D" w14:textId="77777777" w:rsidR="00E77996" w:rsidRDefault="00E77996" w:rsidP="00ED3A50">
            <w:pPr>
              <w:spacing w:before="120"/>
              <w:rPr>
                <w:rFonts w:ascii="Times New Roman" w:eastAsia="Times New Roman" w:hAnsi="Times New Roman" w:cs="Times New Roman"/>
              </w:rPr>
            </w:pPr>
            <w:r>
              <w:t>Develop students’ capacity to respond emotionally and intellectually to sensory experience and to appreciate beauty and fitness for purpose – there are aesthetic elements to all subjects, but some, such as art, music, dance, drama and literature offer greatest opportunity.</w:t>
            </w:r>
          </w:p>
        </w:tc>
      </w:tr>
    </w:tbl>
    <w:p w14:paraId="2A005DA7" w14:textId="29B261B7" w:rsidR="00E77996" w:rsidRDefault="7A6E9D3D" w:rsidP="00ED3A50">
      <w:pPr>
        <w:spacing w:before="240"/>
        <w:rPr>
          <w:rFonts w:ascii="Times New Roman" w:eastAsia="Times New Roman" w:hAnsi="Times New Roman" w:cs="Times New Roman"/>
        </w:rPr>
      </w:pPr>
      <w:r>
        <w:t>RBET-Aylesbury</w:t>
      </w:r>
      <w:r w:rsidR="00E77996">
        <w:t xml:space="preserve"> is committed to ensuring that high standards of numeracy and literacy are developed throughout the curriculum and that all members of staff understand their responsibilities in these areas.</w:t>
      </w:r>
    </w:p>
    <w:p w14:paraId="33F02D21" w14:textId="77777777" w:rsidR="00E77996" w:rsidRDefault="00E77996" w:rsidP="0034553A">
      <w:pPr>
        <w:spacing w:before="240" w:after="120"/>
        <w:rPr>
          <w:b/>
        </w:rPr>
      </w:pPr>
      <w:r>
        <w:rPr>
          <w:b/>
        </w:rPr>
        <w:t>Numeracy and Literacy</w:t>
      </w:r>
    </w:p>
    <w:p w14:paraId="20002C06" w14:textId="61BAAF9F" w:rsidR="00E77996" w:rsidRDefault="00E77996" w:rsidP="00ED3A50">
      <w:pPr>
        <w:spacing w:before="120"/>
        <w:rPr>
          <w:rFonts w:ascii="Times New Roman" w:eastAsia="Times New Roman" w:hAnsi="Times New Roman" w:cs="Times New Roman"/>
        </w:rPr>
      </w:pPr>
      <w:r>
        <w:t xml:space="preserve">All teachers are expected to develop students’ skills in the core areas of numeracy and literacy. Confidence in numeracy and other mathematical skills is a precondition </w:t>
      </w:r>
      <w:r w:rsidR="00ED3A50">
        <w:t xml:space="preserve">for </w:t>
      </w:r>
      <w:r>
        <w:t>success across the curriculum.</w:t>
      </w:r>
    </w:p>
    <w:p w14:paraId="41A59E46" w14:textId="64036F81" w:rsidR="00E77996" w:rsidRDefault="7A6E9D3D" w:rsidP="00E77996">
      <w:pPr>
        <w:spacing w:before="120" w:line="240" w:lineRule="auto"/>
        <w:rPr>
          <w:rFonts w:ascii="Times New Roman" w:eastAsia="Times New Roman" w:hAnsi="Times New Roman" w:cs="Times New Roman"/>
        </w:rPr>
      </w:pPr>
      <w:r>
        <w:t>RBET-Aylesbury</w:t>
      </w:r>
      <w:r w:rsidR="00E77996">
        <w:t xml:space="preserve"> teachers will seek to develop the following areas as described within the revised curriculum. </w:t>
      </w:r>
    </w:p>
    <w:p w14:paraId="1A4DA735" w14:textId="77777777" w:rsidR="00E77996" w:rsidRDefault="00E77996" w:rsidP="0034553A">
      <w:pPr>
        <w:spacing w:before="240" w:after="120"/>
        <w:rPr>
          <w:b/>
        </w:rPr>
      </w:pPr>
      <w:r>
        <w:rPr>
          <w:b/>
        </w:rPr>
        <w:t>Spoken language</w:t>
      </w:r>
    </w:p>
    <w:p w14:paraId="30146F33" w14:textId="77777777" w:rsidR="00E77996" w:rsidRDefault="00E77996" w:rsidP="00ED3A50">
      <w:pPr>
        <w:spacing w:before="120"/>
        <w:rPr>
          <w:rFonts w:ascii="Times New Roman" w:eastAsia="Times New Roman" w:hAnsi="Times New Roman" w:cs="Times New Roman"/>
        </w:rPr>
      </w:pPr>
      <w:r>
        <w:t>Students will be encouraged to speak clearly and convey ideas confidently using ‘Standard English’. They will learn to justify ideas with reasons; ask questions to check understanding; develop vocabulary and build knowledge; negotiate; evaluate and build on the ideas of others; and select the appropriate register for effective communication. They will be taught to give well-structured descriptions and explanations and develop their understanding through speculation, hypothesis and the exploration of ideas. This will enable them to clarify their thinking as well as to organise their ideas for writing.</w:t>
      </w:r>
    </w:p>
    <w:p w14:paraId="23AEEFC7" w14:textId="77777777" w:rsidR="00E77996" w:rsidRDefault="00E77996" w:rsidP="0034553A">
      <w:pPr>
        <w:spacing w:before="240" w:after="120"/>
        <w:rPr>
          <w:b/>
        </w:rPr>
      </w:pPr>
      <w:r>
        <w:rPr>
          <w:b/>
        </w:rPr>
        <w:t>Reading and writing</w:t>
      </w:r>
    </w:p>
    <w:p w14:paraId="0931776B" w14:textId="77777777" w:rsidR="00E77996" w:rsidRDefault="00E77996" w:rsidP="0034553A">
      <w:pPr>
        <w:spacing w:before="120"/>
        <w:rPr>
          <w:rFonts w:ascii="Times New Roman" w:eastAsia="Times New Roman" w:hAnsi="Times New Roman" w:cs="Times New Roman"/>
        </w:rPr>
      </w:pPr>
      <w:r>
        <w:lastRenderedPageBreak/>
        <w:t>Teachers will develop students’ reading and writing in all subjects to support their acquisition of knowledge. Students will be encouraged to read fluently, understand extended prose, both fiction and non-fiction, and be encouraged to read for pleasure. We will encourage students to visit and use public libraries. We will support students to develop the stamina and skills to write at length, with accurate spelling and punctuation, and correct use of grammar.  All teachers will seek to enable students to write in varied and appropriate styles, such as narratives, explanations, descriptions, comparisons, summaries and evaluations.</w:t>
      </w:r>
    </w:p>
    <w:p w14:paraId="3E96DDD5" w14:textId="77777777" w:rsidR="00E77996" w:rsidRDefault="00E77996" w:rsidP="0034553A">
      <w:pPr>
        <w:spacing w:before="240" w:after="120"/>
        <w:rPr>
          <w:b/>
        </w:rPr>
      </w:pPr>
      <w:r>
        <w:rPr>
          <w:b/>
        </w:rPr>
        <w:t>Numeracy and mathematics</w:t>
      </w:r>
    </w:p>
    <w:p w14:paraId="3CC90261" w14:textId="77777777" w:rsidR="00E77996" w:rsidRDefault="00E77996" w:rsidP="0034553A">
      <w:pPr>
        <w:spacing w:before="120"/>
        <w:rPr>
          <w:rFonts w:ascii="Times New Roman" w:eastAsia="Times New Roman" w:hAnsi="Times New Roman" w:cs="Times New Roman"/>
        </w:rPr>
      </w:pPr>
      <w:r>
        <w:t>Teachers will seek to develop students’ numeracy in all subjects so that they understand and appreciate the importance of mathematics. Students will be taught to apply arithmetic to problems, understand and use measures, estimate when using calculators and other technologies to produce results, and then interpret them appropriately. Students should apply their geometric and algebraic understanding, and relate their understanding of probability to the notions of risk and uncertainty. Teachers will also seek to enable students to understand the cyclical process of collecting, presenting and analysing data. Students will be taught to apply their mathematics to both routine and non-routine problems, including breaking down more complex problems into a series of simpler steps.</w:t>
      </w:r>
    </w:p>
    <w:p w14:paraId="066D2074" w14:textId="5BFA01CA" w:rsidR="00E77996" w:rsidRPr="00ED3A50" w:rsidRDefault="00E77996" w:rsidP="0034553A">
      <w:pPr>
        <w:spacing w:before="120"/>
        <w:rPr>
          <w:rFonts w:ascii="Times New Roman" w:eastAsia="Times New Roman" w:hAnsi="Times New Roman" w:cs="Times New Roman"/>
          <w:iCs/>
        </w:rPr>
      </w:pPr>
      <w:r w:rsidRPr="00ED3A50">
        <w:rPr>
          <w:iCs/>
        </w:rPr>
        <w:t>NB Given the learning preferences, and, on occasion, the ‘learning blocks’ (e</w:t>
      </w:r>
      <w:r w:rsidR="00ED3A50" w:rsidRPr="00ED3A50">
        <w:rPr>
          <w:iCs/>
        </w:rPr>
        <w:t>.</w:t>
      </w:r>
      <w:r w:rsidRPr="00ED3A50">
        <w:rPr>
          <w:iCs/>
        </w:rPr>
        <w:t>g</w:t>
      </w:r>
      <w:r w:rsidR="00ED3A50" w:rsidRPr="00ED3A50">
        <w:rPr>
          <w:iCs/>
        </w:rPr>
        <w:t>.</w:t>
      </w:r>
      <w:r w:rsidRPr="00ED3A50">
        <w:rPr>
          <w:iCs/>
        </w:rPr>
        <w:t xml:space="preserve"> “I hate maths, I can’t do it and I won’t do it!”) of some students, their core subject provision may be offered in the areas in which they have shown particular interest, rather than being presented as ‘stand alone’ skills and knowledge.</w:t>
      </w:r>
    </w:p>
    <w:p w14:paraId="6844C2A8" w14:textId="77777777" w:rsidR="00E77996" w:rsidRDefault="00E77996" w:rsidP="0034553A">
      <w:pPr>
        <w:spacing w:before="240" w:after="120"/>
        <w:rPr>
          <w:b/>
        </w:rPr>
      </w:pPr>
      <w:r>
        <w:rPr>
          <w:b/>
        </w:rPr>
        <w:t>Individual timetable design</w:t>
      </w:r>
    </w:p>
    <w:p w14:paraId="30EC861E" w14:textId="5D13791B" w:rsidR="00E77996" w:rsidRDefault="00E77996" w:rsidP="0034553A">
      <w:pPr>
        <w:spacing w:before="120"/>
        <w:rPr>
          <w:rFonts w:ascii="Times New Roman" w:eastAsia="Times New Roman" w:hAnsi="Times New Roman" w:cs="Times New Roman"/>
        </w:rPr>
      </w:pPr>
      <w:r>
        <w:t xml:space="preserve">In designing a programme that meets a student’s needs, </w:t>
      </w:r>
      <w:r w:rsidR="00ED3A50">
        <w:t>RBET-Aylesbury</w:t>
      </w:r>
      <w:r>
        <w:t xml:space="preserve"> aim</w:t>
      </w:r>
      <w:r w:rsidR="00ED3A50">
        <w:t>s</w:t>
      </w:r>
      <w:r>
        <w:t xml:space="preserve"> to:</w:t>
      </w:r>
    </w:p>
    <w:p w14:paraId="7CE1F3A1" w14:textId="16C0C03E" w:rsidR="00E77996" w:rsidRDefault="00E77996" w:rsidP="00ED3A50">
      <w:pPr>
        <w:numPr>
          <w:ilvl w:val="0"/>
          <w:numId w:val="5"/>
        </w:numPr>
        <w:spacing w:before="120"/>
        <w:ind w:left="924" w:hanging="357"/>
      </w:pPr>
      <w:r>
        <w:t>gather as much information as possible at the point of referral and during the student’s induction period, regarding attainment levels and preferred styles of learning (i</w:t>
      </w:r>
      <w:r w:rsidR="00ED3A50">
        <w:t>.</w:t>
      </w:r>
      <w:r>
        <w:t>e</w:t>
      </w:r>
      <w:r w:rsidR="00ED3A50">
        <w:t>.</w:t>
      </w:r>
      <w:r>
        <w:t xml:space="preserve"> carry out a thorough baseline assessment);</w:t>
      </w:r>
    </w:p>
    <w:p w14:paraId="034C5350" w14:textId="77777777" w:rsidR="00E77996" w:rsidRDefault="00E77996" w:rsidP="00ED3A50">
      <w:pPr>
        <w:numPr>
          <w:ilvl w:val="0"/>
          <w:numId w:val="5"/>
        </w:numPr>
        <w:ind w:left="924" w:hanging="357"/>
      </w:pPr>
      <w:r>
        <w:t>generate both long and short term outcomes - identifying the skills, knowledge and qualifications (if necessary) required for the student to successfully achieve the desired outcomes;</w:t>
      </w:r>
    </w:p>
    <w:p w14:paraId="2224E63A" w14:textId="77777777" w:rsidR="00E77996" w:rsidRDefault="00E77996" w:rsidP="00ED3A50">
      <w:pPr>
        <w:numPr>
          <w:ilvl w:val="0"/>
          <w:numId w:val="5"/>
        </w:numPr>
        <w:ind w:left="924" w:hanging="357"/>
      </w:pPr>
      <w:r>
        <w:t>identify a work programme that is likely to enable students to achieve those outcomes;</w:t>
      </w:r>
    </w:p>
    <w:p w14:paraId="7CA10175" w14:textId="77777777" w:rsidR="00E77996" w:rsidRDefault="00E77996" w:rsidP="00ED3A50">
      <w:pPr>
        <w:numPr>
          <w:ilvl w:val="0"/>
          <w:numId w:val="5"/>
        </w:numPr>
        <w:ind w:left="924" w:hanging="357"/>
      </w:pPr>
      <w:r>
        <w:t>consistently monitor, review and, if required, modify the programme;</w:t>
      </w:r>
    </w:p>
    <w:p w14:paraId="47C1D3CC" w14:textId="77777777" w:rsidR="00E77996" w:rsidRDefault="00E77996" w:rsidP="00ED3A50">
      <w:pPr>
        <w:numPr>
          <w:ilvl w:val="0"/>
          <w:numId w:val="5"/>
        </w:numPr>
        <w:ind w:left="924" w:hanging="357"/>
      </w:pPr>
      <w:r>
        <w:t>engage ‘student voice’ centrally within the whole process.</w:t>
      </w:r>
    </w:p>
    <w:p w14:paraId="745C3FD2" w14:textId="6E74B039" w:rsidR="00E77996" w:rsidRPr="00CE095D" w:rsidRDefault="00B472B1" w:rsidP="00E77996">
      <w:pPr>
        <w:spacing w:before="120" w:line="240" w:lineRule="auto"/>
      </w:pPr>
      <w:r w:rsidRPr="00B472B1">
        <w:t xml:space="preserve">At </w:t>
      </w:r>
      <w:r w:rsidR="00ED3A50" w:rsidRPr="00B472B1">
        <w:t>KS3</w:t>
      </w:r>
      <w:r w:rsidR="00CE095D">
        <w:t xml:space="preserve"> s</w:t>
      </w:r>
      <w:r w:rsidR="00E77996">
        <w:t>tudents will have a timetable that offers access to:</w:t>
      </w:r>
    </w:p>
    <w:p w14:paraId="12095906" w14:textId="65C1680B" w:rsidR="00E77996" w:rsidRDefault="00E77996" w:rsidP="00ED3A50">
      <w:pPr>
        <w:numPr>
          <w:ilvl w:val="0"/>
          <w:numId w:val="6"/>
        </w:numPr>
        <w:spacing w:before="120"/>
        <w:ind w:left="924" w:hanging="357"/>
      </w:pPr>
      <w:r>
        <w:t>Maths</w:t>
      </w:r>
    </w:p>
    <w:p w14:paraId="0BA8E6DE" w14:textId="47C1649C" w:rsidR="00E77996" w:rsidRDefault="00E77996" w:rsidP="00ED3A50">
      <w:pPr>
        <w:numPr>
          <w:ilvl w:val="0"/>
          <w:numId w:val="6"/>
        </w:numPr>
        <w:ind w:left="924" w:hanging="357"/>
      </w:pPr>
      <w:r>
        <w:t>English</w:t>
      </w:r>
    </w:p>
    <w:p w14:paraId="69AD8227" w14:textId="613D7CC0" w:rsidR="00E77996" w:rsidRDefault="00E77996" w:rsidP="00ED3A50">
      <w:pPr>
        <w:numPr>
          <w:ilvl w:val="0"/>
          <w:numId w:val="6"/>
        </w:numPr>
        <w:ind w:left="924" w:hanging="357"/>
      </w:pPr>
      <w:r>
        <w:t>Science</w:t>
      </w:r>
    </w:p>
    <w:p w14:paraId="4066F227" w14:textId="0EE7C7EA" w:rsidR="00E77996" w:rsidRDefault="00E77996" w:rsidP="00ED3A50">
      <w:pPr>
        <w:numPr>
          <w:ilvl w:val="0"/>
          <w:numId w:val="6"/>
        </w:numPr>
        <w:ind w:left="924" w:hanging="357"/>
      </w:pPr>
      <w:r>
        <w:t>Computing</w:t>
      </w:r>
    </w:p>
    <w:p w14:paraId="48648FCB" w14:textId="6CED20A4" w:rsidR="00E77996" w:rsidRDefault="00E77996" w:rsidP="00ED3A50">
      <w:pPr>
        <w:numPr>
          <w:ilvl w:val="0"/>
          <w:numId w:val="6"/>
        </w:numPr>
        <w:ind w:left="924" w:hanging="357"/>
      </w:pPr>
      <w:r>
        <w:t>Humanities</w:t>
      </w:r>
    </w:p>
    <w:p w14:paraId="54ED3F7A" w14:textId="600A1C1A" w:rsidR="00E77996" w:rsidRDefault="00E77996" w:rsidP="00ED3A50">
      <w:pPr>
        <w:numPr>
          <w:ilvl w:val="0"/>
          <w:numId w:val="6"/>
        </w:numPr>
        <w:ind w:left="924" w:hanging="357"/>
      </w:pPr>
      <w:r>
        <w:t>Creative arts</w:t>
      </w:r>
    </w:p>
    <w:p w14:paraId="2CA91844" w14:textId="5367BF8A" w:rsidR="00E77996" w:rsidRDefault="00E77996" w:rsidP="00ED3A50">
      <w:pPr>
        <w:numPr>
          <w:ilvl w:val="0"/>
          <w:numId w:val="6"/>
        </w:numPr>
        <w:ind w:left="924" w:hanging="357"/>
      </w:pPr>
      <w:r>
        <w:t>Physical activity</w:t>
      </w:r>
    </w:p>
    <w:p w14:paraId="433B8B44" w14:textId="0D59A1BC" w:rsidR="00E77996" w:rsidRDefault="00E77996" w:rsidP="00CE095D">
      <w:pPr>
        <w:spacing w:before="120"/>
        <w:rPr>
          <w:rFonts w:ascii="Times New Roman" w:eastAsia="Times New Roman" w:hAnsi="Times New Roman" w:cs="Times New Roman"/>
        </w:rPr>
      </w:pPr>
      <w:r>
        <w:t>At KS4</w:t>
      </w:r>
      <w:r w:rsidR="00CE095D">
        <w:t xml:space="preserve"> </w:t>
      </w:r>
      <w:r w:rsidR="00B472B1">
        <w:t>RBET-Aylesbury</w:t>
      </w:r>
      <w:r>
        <w:t xml:space="preserve"> work</w:t>
      </w:r>
      <w:r w:rsidR="00B472B1">
        <w:t>s</w:t>
      </w:r>
      <w:r>
        <w:t xml:space="preserve"> to provide a range of suitable qualifications.</w:t>
      </w:r>
      <w:r w:rsidR="00CE095D">
        <w:t xml:space="preserve"> </w:t>
      </w:r>
      <w:r>
        <w:t xml:space="preserve">Given that there is no selection in terms of ability or attainment of students, it is essential that we provide </w:t>
      </w:r>
      <w:r>
        <w:lastRenderedPageBreak/>
        <w:t>relevant and accessible but also challenging qualifications across the ability and attainment range.</w:t>
      </w:r>
    </w:p>
    <w:p w14:paraId="5E5A7D1A" w14:textId="3C4ECCE2" w:rsidR="00E77996" w:rsidRDefault="7A6E9D3D" w:rsidP="0034553A">
      <w:pPr>
        <w:spacing w:before="120"/>
        <w:rPr>
          <w:rFonts w:ascii="Times New Roman" w:eastAsia="Times New Roman" w:hAnsi="Times New Roman" w:cs="Times New Roman"/>
        </w:rPr>
      </w:pPr>
      <w:r>
        <w:t>RBET-Aylesbury</w:t>
      </w:r>
      <w:r w:rsidR="00E77996">
        <w:t xml:space="preserve"> aims to offer qualifications at both Level 1 and Level 2 in a broad range of subjects, including:</w:t>
      </w:r>
    </w:p>
    <w:p w14:paraId="507E40A3" w14:textId="77777777" w:rsidR="00E77996" w:rsidRDefault="00E77996" w:rsidP="00B472B1">
      <w:pPr>
        <w:numPr>
          <w:ilvl w:val="0"/>
          <w:numId w:val="8"/>
        </w:numPr>
        <w:spacing w:before="120"/>
        <w:ind w:left="924" w:hanging="357"/>
      </w:pPr>
      <w:r>
        <w:t>Maths</w:t>
      </w:r>
    </w:p>
    <w:p w14:paraId="1682802A" w14:textId="77777777" w:rsidR="00E77996" w:rsidRDefault="00E77996" w:rsidP="00B472B1">
      <w:pPr>
        <w:numPr>
          <w:ilvl w:val="0"/>
          <w:numId w:val="8"/>
        </w:numPr>
        <w:ind w:left="924" w:hanging="357"/>
      </w:pPr>
      <w:r>
        <w:t>English</w:t>
      </w:r>
    </w:p>
    <w:p w14:paraId="277B81A8" w14:textId="55D4AE81" w:rsidR="00E77996" w:rsidRDefault="00B472B1" w:rsidP="00B472B1">
      <w:pPr>
        <w:numPr>
          <w:ilvl w:val="0"/>
          <w:numId w:val="8"/>
        </w:numPr>
        <w:ind w:left="924" w:hanging="357"/>
      </w:pPr>
      <w:r>
        <w:t>Science</w:t>
      </w:r>
      <w:r w:rsidR="00E77996">
        <w:t xml:space="preserve"> (individual subjects – Physics, Chemistry, Biology, double awards or general science)</w:t>
      </w:r>
    </w:p>
    <w:p w14:paraId="4829DEED" w14:textId="77777777" w:rsidR="00E77996" w:rsidRDefault="00E77996" w:rsidP="00B472B1">
      <w:pPr>
        <w:numPr>
          <w:ilvl w:val="0"/>
          <w:numId w:val="8"/>
        </w:numPr>
        <w:ind w:left="924" w:hanging="357"/>
      </w:pPr>
      <w:r>
        <w:t>Computing</w:t>
      </w:r>
    </w:p>
    <w:p w14:paraId="0959FC39" w14:textId="77777777" w:rsidR="00E77996" w:rsidRDefault="00E77996" w:rsidP="00B472B1">
      <w:pPr>
        <w:numPr>
          <w:ilvl w:val="0"/>
          <w:numId w:val="8"/>
        </w:numPr>
        <w:ind w:left="924" w:hanging="357"/>
      </w:pPr>
      <w:r>
        <w:t>Drama</w:t>
      </w:r>
    </w:p>
    <w:p w14:paraId="5C2DCD2E" w14:textId="77777777" w:rsidR="00E77996" w:rsidRDefault="00E77996" w:rsidP="00B472B1">
      <w:pPr>
        <w:numPr>
          <w:ilvl w:val="0"/>
          <w:numId w:val="8"/>
        </w:numPr>
        <w:ind w:left="924" w:hanging="357"/>
      </w:pPr>
      <w:r>
        <w:t>Humanities</w:t>
      </w:r>
    </w:p>
    <w:p w14:paraId="64253992" w14:textId="77777777" w:rsidR="00E77996" w:rsidRDefault="00E77996" w:rsidP="00B472B1">
      <w:pPr>
        <w:numPr>
          <w:ilvl w:val="0"/>
          <w:numId w:val="8"/>
        </w:numPr>
        <w:ind w:left="924" w:hanging="357"/>
      </w:pPr>
      <w:r>
        <w:t>Modern foreign languages</w:t>
      </w:r>
    </w:p>
    <w:p w14:paraId="031E8A68" w14:textId="77777777" w:rsidR="00E77996" w:rsidRDefault="00E77996" w:rsidP="00B472B1">
      <w:pPr>
        <w:numPr>
          <w:ilvl w:val="0"/>
          <w:numId w:val="8"/>
        </w:numPr>
        <w:ind w:left="924" w:hanging="357"/>
      </w:pPr>
      <w:r>
        <w:t>Music</w:t>
      </w:r>
    </w:p>
    <w:p w14:paraId="45B06EA1" w14:textId="77777777" w:rsidR="00E77996" w:rsidRDefault="00E77996" w:rsidP="00B472B1">
      <w:pPr>
        <w:numPr>
          <w:ilvl w:val="0"/>
          <w:numId w:val="8"/>
        </w:numPr>
        <w:ind w:left="924" w:hanging="357"/>
      </w:pPr>
      <w:r>
        <w:t>Art</w:t>
      </w:r>
    </w:p>
    <w:p w14:paraId="1C90EED5" w14:textId="77777777" w:rsidR="00E77996" w:rsidRDefault="00E77996" w:rsidP="00B472B1">
      <w:pPr>
        <w:numPr>
          <w:ilvl w:val="0"/>
          <w:numId w:val="8"/>
        </w:numPr>
        <w:ind w:left="924" w:hanging="357"/>
      </w:pPr>
      <w:r>
        <w:t>Media</w:t>
      </w:r>
    </w:p>
    <w:p w14:paraId="7F2731C6" w14:textId="77777777" w:rsidR="00E77996" w:rsidRDefault="00E77996" w:rsidP="00B472B1">
      <w:pPr>
        <w:numPr>
          <w:ilvl w:val="0"/>
          <w:numId w:val="8"/>
        </w:numPr>
        <w:ind w:left="924" w:hanging="357"/>
      </w:pPr>
      <w:r>
        <w:t>Business and Economics</w:t>
      </w:r>
    </w:p>
    <w:p w14:paraId="1DAD7550" w14:textId="77777777" w:rsidR="00E77996" w:rsidRDefault="00E77996" w:rsidP="00B472B1">
      <w:pPr>
        <w:numPr>
          <w:ilvl w:val="0"/>
          <w:numId w:val="8"/>
        </w:numPr>
        <w:ind w:left="924" w:hanging="357"/>
      </w:pPr>
      <w:r>
        <w:t>Food Technology</w:t>
      </w:r>
    </w:p>
    <w:p w14:paraId="227A459F" w14:textId="77777777" w:rsidR="00E77996" w:rsidRDefault="00E77996" w:rsidP="00B472B1">
      <w:pPr>
        <w:numPr>
          <w:ilvl w:val="0"/>
          <w:numId w:val="8"/>
        </w:numPr>
        <w:ind w:left="924" w:hanging="357"/>
      </w:pPr>
      <w:r>
        <w:t>Design Technology</w:t>
      </w:r>
    </w:p>
    <w:p w14:paraId="47CDAA25" w14:textId="77777777" w:rsidR="00E77996" w:rsidRDefault="00E77996" w:rsidP="00B472B1">
      <w:pPr>
        <w:numPr>
          <w:ilvl w:val="0"/>
          <w:numId w:val="8"/>
        </w:numPr>
        <w:ind w:left="924" w:hanging="357"/>
      </w:pPr>
      <w:r>
        <w:t>Childcare</w:t>
      </w:r>
    </w:p>
    <w:p w14:paraId="38052EED" w14:textId="77777777" w:rsidR="00E77996" w:rsidRDefault="00E77996" w:rsidP="00E77996">
      <w:pPr>
        <w:spacing w:before="120" w:line="240" w:lineRule="auto"/>
        <w:rPr>
          <w:rFonts w:ascii="Times New Roman" w:eastAsia="Times New Roman" w:hAnsi="Times New Roman" w:cs="Times New Roman"/>
        </w:rPr>
      </w:pPr>
      <w:r>
        <w:rPr>
          <w:i/>
        </w:rPr>
        <w:t>NB The range offered will vary from year to year, depending on student interests.</w:t>
      </w:r>
    </w:p>
    <w:p w14:paraId="39E5F9A3" w14:textId="0A1B8147" w:rsidR="00E77996" w:rsidRDefault="7A6E9D3D" w:rsidP="0034553A">
      <w:pPr>
        <w:spacing w:before="120"/>
        <w:rPr>
          <w:rFonts w:ascii="Times New Roman" w:eastAsia="Times New Roman" w:hAnsi="Times New Roman" w:cs="Times New Roman"/>
        </w:rPr>
      </w:pPr>
      <w:r>
        <w:t>RBET-Aylesbury</w:t>
      </w:r>
      <w:r w:rsidR="00E77996">
        <w:t xml:space="preserve"> seeks to accommodate any other desired subject option either through online learning or by accessing an appropriately qualified teacher locally (presuming that funding allows).</w:t>
      </w:r>
    </w:p>
    <w:p w14:paraId="46A6BD41" w14:textId="5B376A05" w:rsidR="00E77996" w:rsidRDefault="7A6E9D3D" w:rsidP="0034553A">
      <w:pPr>
        <w:spacing w:before="120"/>
        <w:rPr>
          <w:rFonts w:ascii="Times New Roman" w:eastAsia="Times New Roman" w:hAnsi="Times New Roman" w:cs="Times New Roman"/>
        </w:rPr>
      </w:pPr>
      <w:r>
        <w:t>RBET-Aylesbury</w:t>
      </w:r>
      <w:r w:rsidR="00E77996">
        <w:t xml:space="preserve"> will offer a range of accreditation routes in all subjects including the core subjects.  Students are enabled to access examinations that are realistic in terms of their attainment levels (many students have missed considerable amounts of education). Accreditation options are chosen in negotiation with the student and will ensure the possibility of accessing their desired ‘next step’, be that further education, employment or training. </w:t>
      </w:r>
    </w:p>
    <w:p w14:paraId="05B734B1" w14:textId="77777777" w:rsidR="00E77996" w:rsidRDefault="00E77996" w:rsidP="0034553A">
      <w:pPr>
        <w:spacing w:before="120"/>
      </w:pPr>
      <w:r>
        <w:t>Given the bespoke nature of each student’s learning programme, it is sometimes possible for them to complete courses (including full GCSEs at Level 2) within a year (sometimes less), something that is of great benefit to students referred late in year 10, or at the beginning of year 11.</w:t>
      </w:r>
    </w:p>
    <w:p w14:paraId="606D281D" w14:textId="77777777" w:rsidR="00E77996" w:rsidRDefault="00E77996" w:rsidP="0034553A">
      <w:pPr>
        <w:spacing w:before="120"/>
      </w:pPr>
      <w:r>
        <w:t>The process of negotiated learning typically begins with the admission process. (see the Admissions Policy)</w:t>
      </w:r>
    </w:p>
    <w:p w14:paraId="56A8DB1E" w14:textId="5828F779" w:rsidR="00E77996" w:rsidRDefault="00E77996" w:rsidP="0034553A">
      <w:pPr>
        <w:spacing w:before="120"/>
        <w:rPr>
          <w:rFonts w:ascii="Times New Roman" w:eastAsia="Times New Roman" w:hAnsi="Times New Roman" w:cs="Times New Roman"/>
        </w:rPr>
      </w:pPr>
      <w:r>
        <w:t xml:space="preserve">NB. On occasion </w:t>
      </w:r>
      <w:r w:rsidR="7A6E9D3D">
        <w:t>RBET-Aylesbury</w:t>
      </w:r>
      <w:r>
        <w:t xml:space="preserve"> may admit an ‘over-age’ student. Th</w:t>
      </w:r>
      <w:r w:rsidR="00B472B1">
        <w:t xml:space="preserve">ey </w:t>
      </w:r>
      <w:r>
        <w:t xml:space="preserve">may </w:t>
      </w:r>
      <w:r w:rsidR="00B472B1">
        <w:t xml:space="preserve">have </w:t>
      </w:r>
      <w:r>
        <w:t xml:space="preserve">missed a significant part of their secondary education, or </w:t>
      </w:r>
      <w:r w:rsidR="00B472B1">
        <w:t>it is just that</w:t>
      </w:r>
      <w:r>
        <w:t xml:space="preserve"> the commissioning agent believes that RB provision is the best matched to the student’s needs (that student will inevitably be studying at KS4). In such cases the individualised nature of the provision will enable </w:t>
      </w:r>
      <w:r w:rsidR="00B472B1">
        <w:t>us</w:t>
      </w:r>
      <w:r>
        <w:t xml:space="preserve"> to respond to identified needs. In addition to the curriculum (which will include the opportunity to cover missed learning at KS3 or 4), an ‘over-age’ student will have access to:</w:t>
      </w:r>
    </w:p>
    <w:p w14:paraId="26EAEE09" w14:textId="77777777" w:rsidR="00E77996" w:rsidRDefault="00E77996" w:rsidP="00B472B1">
      <w:pPr>
        <w:numPr>
          <w:ilvl w:val="0"/>
          <w:numId w:val="3"/>
        </w:numPr>
        <w:spacing w:before="120"/>
        <w:ind w:left="924" w:hanging="357"/>
      </w:pPr>
      <w:r>
        <w:t>preparation for employment – developing the necessary skills and confidence;</w:t>
      </w:r>
    </w:p>
    <w:p w14:paraId="1DBA8479" w14:textId="77777777" w:rsidR="00E77996" w:rsidRDefault="00E77996" w:rsidP="00B472B1">
      <w:pPr>
        <w:numPr>
          <w:ilvl w:val="0"/>
          <w:numId w:val="3"/>
        </w:numPr>
        <w:ind w:left="924" w:hanging="357"/>
      </w:pPr>
      <w:r>
        <w:t>familiarisation with FE provision – visits to geographically accessible colleges, and preparation for admission if appropriate;</w:t>
      </w:r>
    </w:p>
    <w:p w14:paraId="1778C816" w14:textId="77777777" w:rsidR="00E77996" w:rsidRDefault="00E77996" w:rsidP="00B472B1">
      <w:pPr>
        <w:numPr>
          <w:ilvl w:val="0"/>
          <w:numId w:val="3"/>
        </w:numPr>
        <w:ind w:left="924" w:hanging="357"/>
      </w:pPr>
      <w:r>
        <w:lastRenderedPageBreak/>
        <w:t>tutor support specifically targeted at identifying the skills and knowledge required for the student to take the next step in their learning journey.</w:t>
      </w:r>
    </w:p>
    <w:p w14:paraId="243F35FF" w14:textId="77777777" w:rsidR="00E77996" w:rsidRDefault="00E77996" w:rsidP="0034553A">
      <w:pPr>
        <w:spacing w:before="240" w:after="120" w:line="240" w:lineRule="auto"/>
        <w:rPr>
          <w:b/>
        </w:rPr>
      </w:pPr>
      <w:r>
        <w:rPr>
          <w:b/>
        </w:rPr>
        <w:t>Careers guidance</w:t>
      </w:r>
    </w:p>
    <w:p w14:paraId="28073F1F" w14:textId="7D7AB06A" w:rsidR="00E77996" w:rsidRDefault="7A6E9D3D" w:rsidP="0034553A">
      <w:pPr>
        <w:spacing w:before="120"/>
        <w:rPr>
          <w:rFonts w:ascii="Times New Roman" w:eastAsia="Times New Roman" w:hAnsi="Times New Roman" w:cs="Times New Roman"/>
        </w:rPr>
      </w:pPr>
      <w:r>
        <w:t>RBET-Aylesbury</w:t>
      </w:r>
      <w:r w:rsidR="00E77996">
        <w:t xml:space="preserve"> has career guidance, a work placement policy and a transition policy posted on the website detailing provision that will be made.</w:t>
      </w:r>
    </w:p>
    <w:p w14:paraId="390D46AE" w14:textId="77777777" w:rsidR="00E77996" w:rsidRDefault="00E77996" w:rsidP="0034553A">
      <w:pPr>
        <w:spacing w:before="120"/>
        <w:rPr>
          <w:rFonts w:ascii="Times New Roman" w:eastAsia="Times New Roman" w:hAnsi="Times New Roman" w:cs="Times New Roman"/>
        </w:rPr>
      </w:pPr>
      <w:r>
        <w:t>Careers guidance will be made available to all students aged 13 and over. For those planning to return to mainstream education appropriate support will be provided.</w:t>
      </w:r>
    </w:p>
    <w:p w14:paraId="4467CBE5" w14:textId="77777777" w:rsidR="00E77996" w:rsidRDefault="00E77996" w:rsidP="0034553A">
      <w:pPr>
        <w:spacing w:before="240" w:after="120"/>
        <w:rPr>
          <w:b/>
        </w:rPr>
      </w:pPr>
      <w:r>
        <w:rPr>
          <w:b/>
        </w:rPr>
        <w:t>The wellbeing curriculum</w:t>
      </w:r>
    </w:p>
    <w:p w14:paraId="5D05F2DF" w14:textId="685699CF" w:rsidR="00E77996" w:rsidRDefault="00E77996" w:rsidP="0034553A">
      <w:pPr>
        <w:spacing w:before="120"/>
        <w:rPr>
          <w:rFonts w:ascii="Times New Roman" w:eastAsia="Times New Roman" w:hAnsi="Times New Roman" w:cs="Times New Roman"/>
        </w:rPr>
      </w:pPr>
      <w:r>
        <w:t>Whilst Centres seek to offer the best possible learning opportunities in the range of academic subjects described, the development of self-efficacy, self-confidence and self-esteem are key elements of the Red Balloon experience. Students are referred because they have self-excluded from mainstream provision and frequently have significant anxiety attached to school, learning and developing relationships with peers and adults. Thus Centres aim to provide a nurturing, supportive environment that enables each student to develop a positive view of themselves as a learner through:</w:t>
      </w:r>
    </w:p>
    <w:p w14:paraId="48433751" w14:textId="77777777" w:rsidR="00E77996" w:rsidRDefault="00E77996" w:rsidP="00B472B1">
      <w:pPr>
        <w:numPr>
          <w:ilvl w:val="0"/>
          <w:numId w:val="11"/>
        </w:numPr>
        <w:spacing w:before="120"/>
        <w:ind w:left="924" w:hanging="357"/>
      </w:pPr>
      <w:r>
        <w:t>belonging to the Red Balloon community;</w:t>
      </w:r>
    </w:p>
    <w:p w14:paraId="55AE0441" w14:textId="77777777" w:rsidR="00E77996" w:rsidRDefault="00E77996" w:rsidP="00B472B1">
      <w:pPr>
        <w:numPr>
          <w:ilvl w:val="0"/>
          <w:numId w:val="11"/>
        </w:numPr>
        <w:ind w:left="924" w:hanging="357"/>
      </w:pPr>
      <w:r>
        <w:t>exploring their anxieties and seeking ways to enable them to manage the emotions that lead to those anxieties;</w:t>
      </w:r>
    </w:p>
    <w:p w14:paraId="0FE605B0" w14:textId="77777777" w:rsidR="00E77996" w:rsidRDefault="00E77996" w:rsidP="00B472B1">
      <w:pPr>
        <w:numPr>
          <w:ilvl w:val="0"/>
          <w:numId w:val="11"/>
        </w:numPr>
        <w:ind w:left="924" w:hanging="357"/>
      </w:pPr>
      <w:r>
        <w:t>contributing to the community (a community should be both supportive and demanding);</w:t>
      </w:r>
    </w:p>
    <w:p w14:paraId="0674DCC6" w14:textId="77777777" w:rsidR="00E77996" w:rsidRDefault="00E77996" w:rsidP="00B472B1">
      <w:pPr>
        <w:numPr>
          <w:ilvl w:val="0"/>
          <w:numId w:val="11"/>
        </w:numPr>
        <w:ind w:left="924" w:hanging="357"/>
      </w:pPr>
      <w:r>
        <w:t>developing positive relationships with staff and students;</w:t>
      </w:r>
    </w:p>
    <w:p w14:paraId="4C46555F" w14:textId="77777777" w:rsidR="00E77996" w:rsidRDefault="00E77996" w:rsidP="00B472B1">
      <w:pPr>
        <w:numPr>
          <w:ilvl w:val="0"/>
          <w:numId w:val="11"/>
        </w:numPr>
        <w:ind w:left="924" w:hanging="357"/>
      </w:pPr>
      <w:r>
        <w:t>experiencing success as a learner;</w:t>
      </w:r>
    </w:p>
    <w:p w14:paraId="4145F541" w14:textId="77777777" w:rsidR="00E77996" w:rsidRDefault="00E77996" w:rsidP="00B472B1">
      <w:pPr>
        <w:numPr>
          <w:ilvl w:val="0"/>
          <w:numId w:val="11"/>
        </w:numPr>
        <w:ind w:left="924" w:hanging="357"/>
      </w:pPr>
      <w:r>
        <w:t>engaging with a comprehensive PSHE curriculum.</w:t>
      </w:r>
    </w:p>
    <w:p w14:paraId="33DE8CFD" w14:textId="77777777" w:rsidR="00E77996" w:rsidRDefault="00E77996" w:rsidP="0034553A">
      <w:pPr>
        <w:spacing w:before="120"/>
        <w:rPr>
          <w:rFonts w:ascii="Times New Roman" w:eastAsia="Times New Roman" w:hAnsi="Times New Roman" w:cs="Times New Roman"/>
        </w:rPr>
      </w:pPr>
      <w:r>
        <w:rPr>
          <w:i/>
        </w:rPr>
        <w:t>See the ‘Student Wellbeing Policy’ (available on the website) for greater detail about this element of the curriculum.</w:t>
      </w:r>
    </w:p>
    <w:p w14:paraId="009E9AAF" w14:textId="77777777" w:rsidR="00E77996" w:rsidRDefault="00E77996" w:rsidP="00B472B1">
      <w:pPr>
        <w:spacing w:before="240" w:after="120"/>
        <w:rPr>
          <w:b/>
        </w:rPr>
      </w:pPr>
      <w:r>
        <w:rPr>
          <w:b/>
        </w:rPr>
        <w:t>Meeting the needs of SEN students</w:t>
      </w:r>
    </w:p>
    <w:p w14:paraId="5FA0E6D7" w14:textId="5F5DBD92" w:rsidR="00E77996" w:rsidRDefault="00E77996" w:rsidP="0034553A">
      <w:pPr>
        <w:spacing w:before="120"/>
        <w:rPr>
          <w:rFonts w:ascii="Times New Roman" w:eastAsia="Times New Roman" w:hAnsi="Times New Roman" w:cs="Times New Roman"/>
        </w:rPr>
      </w:pPr>
      <w:r>
        <w:t>Bespoke learning programmes are provided for all R</w:t>
      </w:r>
      <w:r w:rsidR="00B472B1">
        <w:t>BET-Aylesbury</w:t>
      </w:r>
      <w:r>
        <w:t xml:space="preserve"> students. Once the individual needs of a referred student with an EHC plan have been identified, their learning programme is developed to match those needs. Each Head of Centre or SENCo will:</w:t>
      </w:r>
    </w:p>
    <w:p w14:paraId="3AC4B9F2" w14:textId="77777777" w:rsidR="00E77996" w:rsidRDefault="00E77996" w:rsidP="00B472B1">
      <w:pPr>
        <w:numPr>
          <w:ilvl w:val="0"/>
          <w:numId w:val="9"/>
        </w:numPr>
        <w:spacing w:before="120"/>
        <w:ind w:left="924" w:hanging="357"/>
      </w:pPr>
      <w:r>
        <w:t>ensure the Centre is able to meet the needs specified in the EHC plan;</w:t>
      </w:r>
    </w:p>
    <w:p w14:paraId="281E572D" w14:textId="77777777" w:rsidR="00E77996" w:rsidRDefault="00E77996" w:rsidP="00B472B1">
      <w:pPr>
        <w:numPr>
          <w:ilvl w:val="0"/>
          <w:numId w:val="9"/>
        </w:numPr>
        <w:ind w:left="924" w:hanging="357"/>
      </w:pPr>
      <w:r>
        <w:t>commission additional support if required to meet those needs;</w:t>
      </w:r>
    </w:p>
    <w:p w14:paraId="2F032028" w14:textId="77777777" w:rsidR="00E77996" w:rsidRDefault="00E77996" w:rsidP="00B472B1">
      <w:pPr>
        <w:numPr>
          <w:ilvl w:val="0"/>
          <w:numId w:val="9"/>
        </w:numPr>
        <w:ind w:left="924" w:hanging="357"/>
      </w:pPr>
      <w:r>
        <w:t>meet with parents and the student to ensure that they feel that the needs will be appropriately met;</w:t>
      </w:r>
    </w:p>
    <w:p w14:paraId="25F56AF6" w14:textId="77777777" w:rsidR="00E77996" w:rsidRDefault="00E77996" w:rsidP="00B472B1">
      <w:pPr>
        <w:numPr>
          <w:ilvl w:val="0"/>
          <w:numId w:val="9"/>
        </w:numPr>
        <w:ind w:left="924" w:hanging="357"/>
      </w:pPr>
      <w:r>
        <w:t>identify desired outcomes;</w:t>
      </w:r>
    </w:p>
    <w:p w14:paraId="53151D55" w14:textId="77777777" w:rsidR="00E77996" w:rsidRDefault="00E77996" w:rsidP="00B472B1">
      <w:pPr>
        <w:numPr>
          <w:ilvl w:val="0"/>
          <w:numId w:val="9"/>
        </w:numPr>
        <w:ind w:left="924" w:hanging="357"/>
      </w:pPr>
      <w:r>
        <w:t>ensure all staff are aware of the identified needs and projected outcomes;</w:t>
      </w:r>
    </w:p>
    <w:p w14:paraId="6C132808" w14:textId="77777777" w:rsidR="00E77996" w:rsidRDefault="00E77996" w:rsidP="00B472B1">
      <w:pPr>
        <w:numPr>
          <w:ilvl w:val="0"/>
          <w:numId w:val="9"/>
        </w:numPr>
        <w:ind w:left="924" w:hanging="357"/>
      </w:pPr>
      <w:r>
        <w:t>monitor progress against set outcomes;</w:t>
      </w:r>
    </w:p>
    <w:p w14:paraId="744CE641" w14:textId="0ABB74FF" w:rsidR="00B472B1" w:rsidRPr="004822A7" w:rsidRDefault="00E77996" w:rsidP="004822A7">
      <w:pPr>
        <w:numPr>
          <w:ilvl w:val="0"/>
          <w:numId w:val="9"/>
        </w:numPr>
        <w:ind w:left="924" w:hanging="357"/>
      </w:pPr>
      <w:r>
        <w:t>ensure that all reviews are held promptly.</w:t>
      </w:r>
    </w:p>
    <w:p w14:paraId="16164093" w14:textId="3DB56E15" w:rsidR="00E77996" w:rsidRDefault="00E77996" w:rsidP="00B472B1">
      <w:pPr>
        <w:spacing w:before="240" w:after="120"/>
        <w:rPr>
          <w:b/>
        </w:rPr>
      </w:pPr>
      <w:r>
        <w:rPr>
          <w:b/>
        </w:rPr>
        <w:t>What students learn from staff</w:t>
      </w:r>
    </w:p>
    <w:p w14:paraId="6EB807C3" w14:textId="77777777" w:rsidR="00E77996" w:rsidRDefault="00E77996" w:rsidP="0034553A">
      <w:pPr>
        <w:spacing w:before="120"/>
        <w:rPr>
          <w:rFonts w:ascii="Times New Roman" w:eastAsia="Times New Roman" w:hAnsi="Times New Roman" w:cs="Times New Roman"/>
        </w:rPr>
      </w:pPr>
      <w:r>
        <w:t>It is a core belief at Red Balloon that ‘modelling’ by adults is a key element in all student learning. It is therefore essential that all staff provide positive role models for young people at all times. This means:</w:t>
      </w:r>
    </w:p>
    <w:p w14:paraId="250EC52B" w14:textId="77777777" w:rsidR="00E77996" w:rsidRDefault="00E77996" w:rsidP="00B472B1">
      <w:pPr>
        <w:numPr>
          <w:ilvl w:val="0"/>
          <w:numId w:val="7"/>
        </w:numPr>
        <w:spacing w:before="120"/>
        <w:ind w:left="924" w:hanging="357"/>
      </w:pPr>
      <w:r>
        <w:t>displaying pride in themselves and their appearance;</w:t>
      </w:r>
    </w:p>
    <w:p w14:paraId="42AEC9E1" w14:textId="77777777" w:rsidR="00E77996" w:rsidRDefault="00E77996" w:rsidP="00B472B1">
      <w:pPr>
        <w:numPr>
          <w:ilvl w:val="0"/>
          <w:numId w:val="7"/>
        </w:numPr>
        <w:ind w:left="924" w:hanging="357"/>
      </w:pPr>
      <w:r>
        <w:lastRenderedPageBreak/>
        <w:t>always being punctual and well-prepared;</w:t>
      </w:r>
    </w:p>
    <w:p w14:paraId="46838C9D" w14:textId="77777777" w:rsidR="00E77996" w:rsidRDefault="00E77996" w:rsidP="00B472B1">
      <w:pPr>
        <w:numPr>
          <w:ilvl w:val="0"/>
          <w:numId w:val="7"/>
        </w:numPr>
        <w:ind w:left="924" w:hanging="357"/>
      </w:pPr>
      <w:r>
        <w:t>having a sound mastery of subject areas and conveying a genuine appetite for learning;</w:t>
      </w:r>
    </w:p>
    <w:p w14:paraId="3FB62EA3" w14:textId="77777777" w:rsidR="00E77996" w:rsidRDefault="00E77996" w:rsidP="00B472B1">
      <w:pPr>
        <w:numPr>
          <w:ilvl w:val="0"/>
          <w:numId w:val="7"/>
        </w:numPr>
        <w:ind w:left="924" w:hanging="357"/>
      </w:pPr>
      <w:r>
        <w:t>managing their own emotions; </w:t>
      </w:r>
    </w:p>
    <w:p w14:paraId="4B28079E" w14:textId="77777777" w:rsidR="00E77996" w:rsidRDefault="00E77996" w:rsidP="00B472B1">
      <w:pPr>
        <w:numPr>
          <w:ilvl w:val="0"/>
          <w:numId w:val="7"/>
        </w:numPr>
        <w:ind w:left="924" w:hanging="357"/>
      </w:pPr>
      <w:r>
        <w:t>wanting to listen to those things that interest ‘others’, rather than focusing solely upon personal interest areas;</w:t>
      </w:r>
    </w:p>
    <w:p w14:paraId="59B92186" w14:textId="77777777" w:rsidR="00E77996" w:rsidRDefault="00E77996" w:rsidP="00B472B1">
      <w:pPr>
        <w:numPr>
          <w:ilvl w:val="0"/>
          <w:numId w:val="7"/>
        </w:numPr>
        <w:ind w:left="924" w:hanging="357"/>
      </w:pPr>
      <w:r>
        <w:t>modelling positive conflict resolution.</w:t>
      </w:r>
    </w:p>
    <w:p w14:paraId="2E47E573" w14:textId="58DBB51C" w:rsidR="00E77996" w:rsidRDefault="00E77996" w:rsidP="0034553A">
      <w:pPr>
        <w:spacing w:before="240"/>
        <w:rPr>
          <w:rFonts w:ascii="Times New Roman" w:eastAsia="Times New Roman" w:hAnsi="Times New Roman" w:cs="Times New Roman"/>
        </w:rPr>
      </w:pPr>
      <w:r>
        <w:rPr>
          <w:i/>
        </w:rPr>
        <w:t>(</w:t>
      </w:r>
      <w:r w:rsidR="00B472B1">
        <w:rPr>
          <w:i/>
        </w:rPr>
        <w:t>S</w:t>
      </w:r>
      <w:r>
        <w:rPr>
          <w:i/>
        </w:rPr>
        <w:t>ee staff code of conduct for further detail)</w:t>
      </w:r>
    </w:p>
    <w:p w14:paraId="32212828" w14:textId="77777777" w:rsidR="00E77996" w:rsidRDefault="00E77996" w:rsidP="0034553A">
      <w:pPr>
        <w:spacing w:before="240" w:after="120"/>
        <w:rPr>
          <w:b/>
        </w:rPr>
      </w:pPr>
      <w:r>
        <w:rPr>
          <w:b/>
        </w:rPr>
        <w:t>Core Curriculum entitlement</w:t>
      </w:r>
    </w:p>
    <w:p w14:paraId="3D0E5CC6" w14:textId="684500F5" w:rsidR="00E77996" w:rsidRDefault="00E77996" w:rsidP="0034553A">
      <w:pPr>
        <w:spacing w:before="120"/>
        <w:rPr>
          <w:rFonts w:ascii="Times New Roman" w:eastAsia="Times New Roman" w:hAnsi="Times New Roman" w:cs="Times New Roman"/>
        </w:rPr>
      </w:pPr>
      <w:r>
        <w:t>All students will have access to a minimum of three hours per week in each core subject</w:t>
      </w:r>
      <w:r w:rsidR="00B472B1">
        <w:t xml:space="preserve"> -</w:t>
      </w:r>
      <w:r>
        <w:t xml:space="preserve"> Maths, English and Science. In cases where students either cannot or will not engage in group learning (or are disruptive of the learning of others within a group), and so need one-to-one lessons, their access may be reduced to accord with the available resources and staffing levels. On occasion (according to identified need) students will engage in activities intended to enable them to develop effective social skills and the </w:t>
      </w:r>
      <w:r w:rsidR="00CE095D">
        <w:t>ability</w:t>
      </w:r>
      <w:r>
        <w:t xml:space="preserve"> to access academic learning opportunities. </w:t>
      </w:r>
      <w:r w:rsidR="00CE095D">
        <w:t>RBET-Aylesbury</w:t>
      </w:r>
      <w:r>
        <w:t xml:space="preserve"> staff will always be clear as to the dual purpose of such activities (i</w:t>
      </w:r>
      <w:r w:rsidR="00CE095D">
        <w:t>.</w:t>
      </w:r>
      <w:r>
        <w:t>e</w:t>
      </w:r>
      <w:r w:rsidR="00CE095D">
        <w:t>.</w:t>
      </w:r>
      <w:r>
        <w:t xml:space="preserve"> enjoyment of the activity itself and development of interpersonal skills).</w:t>
      </w:r>
    </w:p>
    <w:p w14:paraId="6B09F464" w14:textId="3D0C55E0" w:rsidR="00E77996" w:rsidRDefault="00CE095D" w:rsidP="0034553A">
      <w:pPr>
        <w:spacing w:before="120"/>
        <w:rPr>
          <w:rFonts w:ascii="Times New Roman" w:eastAsia="Times New Roman" w:hAnsi="Times New Roman" w:cs="Times New Roman"/>
        </w:rPr>
      </w:pPr>
      <w:r>
        <w:t>We shall</w:t>
      </w:r>
      <w:r w:rsidR="00E77996">
        <w:t xml:space="preserve"> provide students with access to learning about computing and the use of technology. </w:t>
      </w:r>
    </w:p>
    <w:p w14:paraId="77F17FB5" w14:textId="77777777" w:rsidR="00E77996" w:rsidRDefault="00E77996" w:rsidP="0034553A">
      <w:pPr>
        <w:spacing w:before="120"/>
        <w:rPr>
          <w:rFonts w:ascii="Times New Roman" w:eastAsia="Times New Roman" w:hAnsi="Times New Roman" w:cs="Times New Roman"/>
        </w:rPr>
      </w:pPr>
      <w:r>
        <w:t>Red Balloon’s business plan ensures that all students and staff have access to good quality technology to support the full range of learning.</w:t>
      </w:r>
    </w:p>
    <w:p w14:paraId="06BD4BCD" w14:textId="0721AC65" w:rsidR="00E77996" w:rsidRDefault="7A6E9D3D" w:rsidP="0034553A">
      <w:pPr>
        <w:spacing w:before="120"/>
        <w:rPr>
          <w:rFonts w:ascii="Times New Roman" w:eastAsia="Times New Roman" w:hAnsi="Times New Roman" w:cs="Times New Roman"/>
        </w:rPr>
      </w:pPr>
      <w:r>
        <w:t>RBET-Aylesbury</w:t>
      </w:r>
      <w:r w:rsidR="00E77996">
        <w:t xml:space="preserve"> will ensure that the provision offered to students reflects the requirements of this policy.</w:t>
      </w:r>
    </w:p>
    <w:p w14:paraId="2711B37E" w14:textId="77777777" w:rsidR="00E77996" w:rsidRDefault="00E77996" w:rsidP="0034553A">
      <w:pPr>
        <w:spacing w:before="120"/>
        <w:rPr>
          <w:rFonts w:ascii="Times New Roman" w:eastAsia="Times New Roman" w:hAnsi="Times New Roman" w:cs="Times New Roman"/>
        </w:rPr>
      </w:pPr>
      <w:r>
        <w:t>All staff are required to have a framework for monitoring student progress in their subject area(s) and to report against student progress using that framework.</w:t>
      </w:r>
    </w:p>
    <w:p w14:paraId="6D1FAF34" w14:textId="7D1EBD35" w:rsidR="00E77996" w:rsidRDefault="00E77996" w:rsidP="0034553A">
      <w:pPr>
        <w:spacing w:before="120"/>
      </w:pPr>
      <w:r>
        <w:t xml:space="preserve">Through that assessment framework Centres aim to illustrate </w:t>
      </w:r>
      <w:r w:rsidR="00CE095D">
        <w:t>how well</w:t>
      </w:r>
      <w:r>
        <w:t xml:space="preserve"> students have progress</w:t>
      </w:r>
      <w:r w:rsidR="00CE095D">
        <w:t>ed.</w:t>
      </w:r>
      <w:r>
        <w:t xml:space="preserve"> Where progress is not ‘good’, we </w:t>
      </w:r>
      <w:r w:rsidR="00CE095D">
        <w:t>sha</w:t>
      </w:r>
      <w:r>
        <w:t xml:space="preserve">ll always seek to modify the practice to enable students to make </w:t>
      </w:r>
      <w:r w:rsidR="00CE095D">
        <w:t xml:space="preserve">better </w:t>
      </w:r>
      <w:r>
        <w:t>progress.</w:t>
      </w:r>
    </w:p>
    <w:p w14:paraId="2958218A" w14:textId="77777777" w:rsidR="00E77996" w:rsidRDefault="00E77996" w:rsidP="004822A7">
      <w:pPr>
        <w:spacing w:before="240" w:after="120"/>
        <w:rPr>
          <w:b/>
        </w:rPr>
      </w:pPr>
      <w:r>
        <w:rPr>
          <w:b/>
        </w:rPr>
        <w:t>Legislation/guidance that informs this document</w:t>
      </w:r>
    </w:p>
    <w:p w14:paraId="350B6C19" w14:textId="77777777" w:rsidR="00E77996" w:rsidRDefault="00E77996" w:rsidP="00CE095D">
      <w:pPr>
        <w:numPr>
          <w:ilvl w:val="0"/>
          <w:numId w:val="14"/>
        </w:numPr>
        <w:ind w:left="924" w:hanging="357"/>
      </w:pPr>
      <w:r>
        <w:t>Schedule to the Education (Independent School Standards) Regulations 2014</w:t>
      </w:r>
    </w:p>
    <w:p w14:paraId="0C8175AE" w14:textId="03D25C07" w:rsidR="00E77996" w:rsidRPr="004822A7" w:rsidRDefault="00E77996" w:rsidP="004822A7">
      <w:pPr>
        <w:spacing w:before="240" w:after="120"/>
        <w:rPr>
          <w:b/>
          <w:bCs/>
        </w:rPr>
      </w:pPr>
      <w:r w:rsidRPr="004822A7">
        <w:rPr>
          <w:b/>
          <w:bCs/>
        </w:rPr>
        <w:t>Other Red Balloon policies that should be read in conjunction with this one</w:t>
      </w:r>
      <w:r w:rsidR="00CE095D" w:rsidRPr="004822A7">
        <w:rPr>
          <w:b/>
          <w:bCs/>
        </w:rPr>
        <w:t>:</w:t>
      </w:r>
    </w:p>
    <w:p w14:paraId="5D8C5925" w14:textId="77777777" w:rsidR="00E77996" w:rsidRDefault="00E77996" w:rsidP="00CE095D">
      <w:pPr>
        <w:numPr>
          <w:ilvl w:val="0"/>
          <w:numId w:val="13"/>
        </w:numPr>
        <w:spacing w:before="120"/>
        <w:ind w:left="924" w:hanging="357"/>
      </w:pPr>
      <w:r>
        <w:t>Student Wellbeing</w:t>
      </w:r>
    </w:p>
    <w:p w14:paraId="6C44BE79" w14:textId="77777777" w:rsidR="00E77996" w:rsidRDefault="00E77996" w:rsidP="00CE095D">
      <w:pPr>
        <w:numPr>
          <w:ilvl w:val="0"/>
          <w:numId w:val="13"/>
        </w:numPr>
        <w:ind w:left="924" w:hanging="357"/>
      </w:pPr>
      <w:r>
        <w:t>Behaviour for Learning</w:t>
      </w:r>
    </w:p>
    <w:p w14:paraId="124BCF0E" w14:textId="4AE816D9" w:rsidR="00E77996" w:rsidRDefault="00E77996" w:rsidP="00E77996">
      <w:pPr>
        <w:numPr>
          <w:ilvl w:val="0"/>
          <w:numId w:val="13"/>
        </w:numPr>
        <w:ind w:left="924" w:hanging="357"/>
      </w:pPr>
      <w:r>
        <w:t>PSHE</w:t>
      </w:r>
    </w:p>
    <w:sectPr w:rsidR="00E77996" w:rsidSect="00434A9B">
      <w:footerReference w:type="even" r:id="rId11"/>
      <w:footerReference w:type="default" r:id="rId12"/>
      <w:pgSz w:w="11906" w:h="16838"/>
      <w:pgMar w:top="1440" w:right="1440" w:bottom="119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752C" w14:textId="77777777" w:rsidR="009261C7" w:rsidRDefault="009261C7" w:rsidP="002A3895">
      <w:pPr>
        <w:spacing w:line="240" w:lineRule="auto"/>
      </w:pPr>
      <w:r>
        <w:separator/>
      </w:r>
    </w:p>
  </w:endnote>
  <w:endnote w:type="continuationSeparator" w:id="0">
    <w:p w14:paraId="371D0A7E" w14:textId="77777777" w:rsidR="009261C7" w:rsidRDefault="009261C7" w:rsidP="002A3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1235633"/>
      <w:docPartObj>
        <w:docPartGallery w:val="Page Numbers (Bottom of Page)"/>
        <w:docPartUnique/>
      </w:docPartObj>
    </w:sdtPr>
    <w:sdtContent>
      <w:p w14:paraId="61A292EB" w14:textId="3CCA1DE8" w:rsidR="002A3895" w:rsidRDefault="002A3895" w:rsidP="002A38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EBF854" w14:textId="77777777" w:rsidR="002A3895" w:rsidRDefault="002A3895" w:rsidP="002A38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467392"/>
      <w:docPartObj>
        <w:docPartGallery w:val="Page Numbers (Bottom of Page)"/>
        <w:docPartUnique/>
      </w:docPartObj>
    </w:sdtPr>
    <w:sdtContent>
      <w:p w14:paraId="1C7BB008" w14:textId="64D6F9C8" w:rsidR="002A3895" w:rsidRDefault="002A3895" w:rsidP="002A38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311EE9" w14:textId="77777777" w:rsidR="002A3895" w:rsidRDefault="002A3895" w:rsidP="002A38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18BD" w14:textId="77777777" w:rsidR="009261C7" w:rsidRDefault="009261C7" w:rsidP="002A3895">
      <w:pPr>
        <w:spacing w:line="240" w:lineRule="auto"/>
      </w:pPr>
      <w:r>
        <w:separator/>
      </w:r>
    </w:p>
  </w:footnote>
  <w:footnote w:type="continuationSeparator" w:id="0">
    <w:p w14:paraId="0CFE6FC8" w14:textId="77777777" w:rsidR="009261C7" w:rsidRDefault="009261C7" w:rsidP="002A38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487"/>
    <w:multiLevelType w:val="multilevel"/>
    <w:tmpl w:val="D5AE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4671A"/>
    <w:multiLevelType w:val="multilevel"/>
    <w:tmpl w:val="17D24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2C648A"/>
    <w:multiLevelType w:val="multilevel"/>
    <w:tmpl w:val="B73E6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5971EE"/>
    <w:multiLevelType w:val="multilevel"/>
    <w:tmpl w:val="0F64F3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D43F4A"/>
    <w:multiLevelType w:val="multilevel"/>
    <w:tmpl w:val="7286E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DC49C7"/>
    <w:multiLevelType w:val="multilevel"/>
    <w:tmpl w:val="21F4D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B077C7"/>
    <w:multiLevelType w:val="multilevel"/>
    <w:tmpl w:val="9B4E7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C67784A"/>
    <w:multiLevelType w:val="multilevel"/>
    <w:tmpl w:val="E110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6376E2"/>
    <w:multiLevelType w:val="multilevel"/>
    <w:tmpl w:val="FF8E9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55C6A82"/>
    <w:multiLevelType w:val="multilevel"/>
    <w:tmpl w:val="73761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6734B4C"/>
    <w:multiLevelType w:val="multilevel"/>
    <w:tmpl w:val="CEFE9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FF574DD"/>
    <w:multiLevelType w:val="multilevel"/>
    <w:tmpl w:val="3B64D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4BD60B0"/>
    <w:multiLevelType w:val="multilevel"/>
    <w:tmpl w:val="225EE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9C4F2D"/>
    <w:multiLevelType w:val="multilevel"/>
    <w:tmpl w:val="889E8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6951EF3"/>
    <w:multiLevelType w:val="multilevel"/>
    <w:tmpl w:val="EF400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F85530"/>
    <w:multiLevelType w:val="multilevel"/>
    <w:tmpl w:val="CC92B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F73364A"/>
    <w:multiLevelType w:val="multilevel"/>
    <w:tmpl w:val="C1D82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6103395">
    <w:abstractNumId w:val="3"/>
  </w:num>
  <w:num w:numId="2" w16cid:durableId="2092726512">
    <w:abstractNumId w:val="11"/>
  </w:num>
  <w:num w:numId="3" w16cid:durableId="21593366">
    <w:abstractNumId w:val="8"/>
  </w:num>
  <w:num w:numId="4" w16cid:durableId="1866669703">
    <w:abstractNumId w:val="2"/>
  </w:num>
  <w:num w:numId="5" w16cid:durableId="1566718735">
    <w:abstractNumId w:val="15"/>
  </w:num>
  <w:num w:numId="6" w16cid:durableId="787743509">
    <w:abstractNumId w:val="10"/>
  </w:num>
  <w:num w:numId="7" w16cid:durableId="30568724">
    <w:abstractNumId w:val="4"/>
  </w:num>
  <w:num w:numId="8" w16cid:durableId="1870021644">
    <w:abstractNumId w:val="5"/>
  </w:num>
  <w:num w:numId="9" w16cid:durableId="565259306">
    <w:abstractNumId w:val="13"/>
  </w:num>
  <w:num w:numId="10" w16cid:durableId="901871965">
    <w:abstractNumId w:val="1"/>
  </w:num>
  <w:num w:numId="11" w16cid:durableId="1882475645">
    <w:abstractNumId w:val="12"/>
  </w:num>
  <w:num w:numId="12" w16cid:durableId="1038505109">
    <w:abstractNumId w:val="0"/>
  </w:num>
  <w:num w:numId="13" w16cid:durableId="1542479952">
    <w:abstractNumId w:val="16"/>
  </w:num>
  <w:num w:numId="14" w16cid:durableId="607346504">
    <w:abstractNumId w:val="14"/>
  </w:num>
  <w:num w:numId="15" w16cid:durableId="1065183671">
    <w:abstractNumId w:val="7"/>
  </w:num>
  <w:num w:numId="16" w16cid:durableId="1384326616">
    <w:abstractNumId w:val="9"/>
  </w:num>
  <w:num w:numId="17" w16cid:durableId="720980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96"/>
    <w:rsid w:val="002A3895"/>
    <w:rsid w:val="0034553A"/>
    <w:rsid w:val="00434A9B"/>
    <w:rsid w:val="004822A7"/>
    <w:rsid w:val="00880035"/>
    <w:rsid w:val="009261C7"/>
    <w:rsid w:val="00B472B1"/>
    <w:rsid w:val="00CE095D"/>
    <w:rsid w:val="00E77996"/>
    <w:rsid w:val="00ED3A50"/>
    <w:rsid w:val="0200B328"/>
    <w:rsid w:val="0623BC07"/>
    <w:rsid w:val="07307AA4"/>
    <w:rsid w:val="16B500F3"/>
    <w:rsid w:val="1A3DA4D0"/>
    <w:rsid w:val="289DAAF1"/>
    <w:rsid w:val="35F0B457"/>
    <w:rsid w:val="3B3D4166"/>
    <w:rsid w:val="4876242F"/>
    <w:rsid w:val="5BE1E928"/>
    <w:rsid w:val="662B8387"/>
    <w:rsid w:val="6F7CF522"/>
    <w:rsid w:val="7039B66A"/>
    <w:rsid w:val="7A6E9D3D"/>
    <w:rsid w:val="7D628BD8"/>
    <w:rsid w:val="7D65F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7810"/>
  <w15:chartTrackingRefBased/>
  <w15:docId w15:val="{E736BFCA-4916-4C33-A748-6F49554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96"/>
    <w:pPr>
      <w:spacing w:after="0" w:line="276" w:lineRule="auto"/>
    </w:pPr>
    <w:rPr>
      <w:rFonts w:ascii="Arial" w:eastAsia="Arial" w:hAnsi="Arial" w:cs="Arial"/>
      <w:kern w:val="0"/>
      <w:lang w:eastAsia="en-GB"/>
      <w14:ligatures w14:val="none"/>
    </w:rPr>
  </w:style>
  <w:style w:type="paragraph" w:styleId="Heading3">
    <w:name w:val="heading 3"/>
    <w:basedOn w:val="Normal"/>
    <w:next w:val="Normal"/>
    <w:link w:val="Heading3Char"/>
    <w:uiPriority w:val="9"/>
    <w:unhideWhenUsed/>
    <w:qFormat/>
    <w:rsid w:val="00E7799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996"/>
    <w:rPr>
      <w:rFonts w:ascii="Arial" w:eastAsia="Arial" w:hAnsi="Arial" w:cs="Arial"/>
      <w:color w:val="434343"/>
      <w:kern w:val="0"/>
      <w:sz w:val="28"/>
      <w:szCs w:val="28"/>
      <w:lang w:eastAsia="en-GB"/>
      <w14:ligatures w14:val="none"/>
    </w:rPr>
  </w:style>
  <w:style w:type="paragraph" w:styleId="Footer">
    <w:name w:val="footer"/>
    <w:basedOn w:val="Normal"/>
    <w:link w:val="FooterChar"/>
    <w:uiPriority w:val="99"/>
    <w:unhideWhenUsed/>
    <w:rsid w:val="002A3895"/>
    <w:pPr>
      <w:tabs>
        <w:tab w:val="center" w:pos="4680"/>
        <w:tab w:val="right" w:pos="9360"/>
      </w:tabs>
      <w:spacing w:line="240" w:lineRule="auto"/>
    </w:pPr>
  </w:style>
  <w:style w:type="character" w:customStyle="1" w:styleId="FooterChar">
    <w:name w:val="Footer Char"/>
    <w:basedOn w:val="DefaultParagraphFont"/>
    <w:link w:val="Footer"/>
    <w:uiPriority w:val="99"/>
    <w:rsid w:val="002A3895"/>
    <w:rPr>
      <w:rFonts w:ascii="Arial" w:eastAsia="Arial" w:hAnsi="Arial" w:cs="Arial"/>
      <w:kern w:val="0"/>
      <w:lang w:eastAsia="en-GB"/>
      <w14:ligatures w14:val="none"/>
    </w:rPr>
  </w:style>
  <w:style w:type="character" w:styleId="PageNumber">
    <w:name w:val="page number"/>
    <w:basedOn w:val="DefaultParagraphFont"/>
    <w:uiPriority w:val="99"/>
    <w:semiHidden/>
    <w:unhideWhenUsed/>
    <w:rsid w:val="002A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1FCF9-77BA-45D3-8D56-6CB7B01A5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F5065-76DA-4921-932C-290E14FD5D00}">
  <ds:schemaRefs>
    <ds:schemaRef ds:uri="http://schemas.microsoft.com/sharepoint/v3/contenttype/forms"/>
  </ds:schemaRefs>
</ds:datastoreItem>
</file>

<file path=customXml/itemProps3.xml><?xml version="1.0" encoding="utf-8"?>
<ds:datastoreItem xmlns:ds="http://schemas.openxmlformats.org/officeDocument/2006/customXml" ds:itemID="{D893E71E-6376-4E71-9686-F980F9FB6D66}">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McGuinness</dc:creator>
  <cp:keywords/>
  <dc:description/>
  <cp:lastModifiedBy>Ruth Loshak</cp:lastModifiedBy>
  <cp:revision>5</cp:revision>
  <dcterms:created xsi:type="dcterms:W3CDTF">2024-01-29T11:22:00Z</dcterms:created>
  <dcterms:modified xsi:type="dcterms:W3CDTF">2024-07-08T16:46:00Z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MediaServiceImageTags">
    <vt:lpwstr/>
  </property>
</Properties>
</file>