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04904" w14:textId="0097F5F8" w:rsidR="008F487E" w:rsidRDefault="34466FDD" w:rsidP="7D814426">
      <w:pPr>
        <w:spacing w:before="240" w:after="240" w:line="259" w:lineRule="auto"/>
      </w:pPr>
      <w:r>
        <w:t xml:space="preserve">                                  </w:t>
      </w:r>
      <w:r>
        <w:rPr>
          <w:noProof/>
        </w:rPr>
        <w:drawing>
          <wp:inline distT="0" distB="0" distL="0" distR="0" wp14:anchorId="27BD4EB9" wp14:editId="4AC287B6">
            <wp:extent cx="3314870" cy="1739989"/>
            <wp:effectExtent l="0" t="0" r="0" b="0"/>
            <wp:docPr id="1133664864" name="Picture 113366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314870" cy="1739989"/>
                    </a:xfrm>
                    <a:prstGeom prst="rect">
                      <a:avLst/>
                    </a:prstGeom>
                  </pic:spPr>
                </pic:pic>
              </a:graphicData>
            </a:graphic>
          </wp:inline>
        </w:drawing>
      </w:r>
    </w:p>
    <w:tbl>
      <w:tblPr>
        <w:tblW w:w="9000" w:type="dxa"/>
        <w:tblInd w:w="-1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362"/>
        <w:gridCol w:w="4638"/>
      </w:tblGrid>
      <w:tr w:rsidR="008F487E" w14:paraId="06698B70" w14:textId="77777777" w:rsidTr="5E655118">
        <w:trPr>
          <w:trHeight w:val="420"/>
        </w:trPr>
        <w:tc>
          <w:tcPr>
            <w:tcW w:w="9000" w:type="dxa"/>
            <w:gridSpan w:val="2"/>
            <w:shd w:val="clear" w:color="auto" w:fill="F4CCCC"/>
            <w:tcMar>
              <w:top w:w="100" w:type="dxa"/>
              <w:left w:w="100" w:type="dxa"/>
              <w:bottom w:w="100" w:type="dxa"/>
              <w:right w:w="100" w:type="dxa"/>
            </w:tcMar>
          </w:tcPr>
          <w:p w14:paraId="153DFEED" w14:textId="77777777" w:rsidR="008F487E" w:rsidRDefault="008F487E" w:rsidP="00276C4F">
            <w:pPr>
              <w:widowControl w:val="0"/>
              <w:spacing w:before="60" w:line="240" w:lineRule="auto"/>
              <w:rPr>
                <w:b/>
              </w:rPr>
            </w:pPr>
            <w:r>
              <w:rPr>
                <w:b/>
              </w:rPr>
              <w:t>Policy document control box</w:t>
            </w:r>
          </w:p>
        </w:tc>
      </w:tr>
      <w:tr w:rsidR="008F487E" w14:paraId="26A67CFC" w14:textId="77777777" w:rsidTr="5E655118">
        <w:tc>
          <w:tcPr>
            <w:tcW w:w="4362" w:type="dxa"/>
            <w:shd w:val="clear" w:color="auto" w:fill="auto"/>
            <w:tcMar>
              <w:top w:w="100" w:type="dxa"/>
              <w:left w:w="100" w:type="dxa"/>
              <w:bottom w:w="100" w:type="dxa"/>
              <w:right w:w="100" w:type="dxa"/>
            </w:tcMar>
          </w:tcPr>
          <w:p w14:paraId="1A170A27" w14:textId="77777777" w:rsidR="008F487E" w:rsidRDefault="008F487E" w:rsidP="00137873">
            <w:pPr>
              <w:widowControl w:val="0"/>
              <w:spacing w:line="240" w:lineRule="auto"/>
            </w:pPr>
            <w:r>
              <w:t>Policy title</w:t>
            </w:r>
          </w:p>
        </w:tc>
        <w:tc>
          <w:tcPr>
            <w:tcW w:w="4638" w:type="dxa"/>
            <w:shd w:val="clear" w:color="auto" w:fill="auto"/>
            <w:tcMar>
              <w:top w:w="100" w:type="dxa"/>
              <w:left w:w="100" w:type="dxa"/>
              <w:bottom w:w="100" w:type="dxa"/>
              <w:right w:w="100" w:type="dxa"/>
            </w:tcMar>
          </w:tcPr>
          <w:p w14:paraId="00ED3212" w14:textId="77777777" w:rsidR="008F487E" w:rsidRDefault="008F487E" w:rsidP="00137873">
            <w:pPr>
              <w:pStyle w:val="Heading3"/>
              <w:keepNext w:val="0"/>
              <w:keepLines w:val="0"/>
              <w:spacing w:before="0" w:after="0" w:line="240" w:lineRule="auto"/>
              <w:rPr>
                <w:b/>
                <w:color w:val="000000"/>
                <w:sz w:val="22"/>
                <w:szCs w:val="22"/>
              </w:rPr>
            </w:pPr>
            <w:bookmarkStart w:id="0" w:name="_19mgy3x" w:colFirst="0" w:colLast="0"/>
            <w:bookmarkEnd w:id="0"/>
            <w:r>
              <w:rPr>
                <w:b/>
                <w:color w:val="000000"/>
                <w:sz w:val="22"/>
                <w:szCs w:val="22"/>
              </w:rPr>
              <w:t>Careers</w:t>
            </w:r>
          </w:p>
        </w:tc>
      </w:tr>
      <w:tr w:rsidR="008F487E" w14:paraId="573ED45C" w14:textId="77777777" w:rsidTr="5E655118">
        <w:tc>
          <w:tcPr>
            <w:tcW w:w="4362" w:type="dxa"/>
            <w:shd w:val="clear" w:color="auto" w:fill="auto"/>
            <w:tcMar>
              <w:top w:w="100" w:type="dxa"/>
              <w:left w:w="100" w:type="dxa"/>
              <w:bottom w:w="100" w:type="dxa"/>
              <w:right w:w="100" w:type="dxa"/>
            </w:tcMar>
          </w:tcPr>
          <w:p w14:paraId="5C159BF9" w14:textId="77777777" w:rsidR="008F487E" w:rsidRDefault="008F487E" w:rsidP="00137873">
            <w:pPr>
              <w:widowControl w:val="0"/>
              <w:spacing w:line="240" w:lineRule="auto"/>
            </w:pPr>
            <w:r>
              <w:t>Policy owner (including job title)</w:t>
            </w:r>
          </w:p>
        </w:tc>
        <w:tc>
          <w:tcPr>
            <w:tcW w:w="4638" w:type="dxa"/>
            <w:shd w:val="clear" w:color="auto" w:fill="auto"/>
            <w:tcMar>
              <w:top w:w="100" w:type="dxa"/>
              <w:left w:w="100" w:type="dxa"/>
              <w:bottom w:w="100" w:type="dxa"/>
              <w:right w:w="100" w:type="dxa"/>
            </w:tcMar>
          </w:tcPr>
          <w:p w14:paraId="440D8F4A" w14:textId="26E06177" w:rsidR="008F487E" w:rsidRDefault="79A1FCFC" w:rsidP="00137873">
            <w:pPr>
              <w:widowControl w:val="0"/>
              <w:spacing w:line="240" w:lineRule="auto"/>
            </w:pPr>
            <w:r>
              <w:t>RBET-Aylesbury</w:t>
            </w:r>
          </w:p>
        </w:tc>
      </w:tr>
      <w:tr w:rsidR="008F487E" w14:paraId="65AEFCA5" w14:textId="77777777" w:rsidTr="5E655118">
        <w:tc>
          <w:tcPr>
            <w:tcW w:w="4362" w:type="dxa"/>
            <w:shd w:val="clear" w:color="auto" w:fill="auto"/>
            <w:tcMar>
              <w:top w:w="100" w:type="dxa"/>
              <w:left w:w="100" w:type="dxa"/>
              <w:bottom w:w="100" w:type="dxa"/>
              <w:right w:w="100" w:type="dxa"/>
            </w:tcMar>
          </w:tcPr>
          <w:p w14:paraId="2065BC65" w14:textId="77777777" w:rsidR="008F487E" w:rsidRDefault="008F487E" w:rsidP="00137873">
            <w:pPr>
              <w:widowControl w:val="0"/>
              <w:spacing w:line="240" w:lineRule="auto"/>
            </w:pPr>
            <w:r>
              <w:t>Version</w:t>
            </w:r>
          </w:p>
        </w:tc>
        <w:tc>
          <w:tcPr>
            <w:tcW w:w="4638" w:type="dxa"/>
            <w:shd w:val="clear" w:color="auto" w:fill="auto"/>
            <w:tcMar>
              <w:top w:w="100" w:type="dxa"/>
              <w:left w:w="100" w:type="dxa"/>
              <w:bottom w:w="100" w:type="dxa"/>
              <w:right w:w="100" w:type="dxa"/>
            </w:tcMar>
          </w:tcPr>
          <w:p w14:paraId="79F9228A" w14:textId="22024EEF" w:rsidR="008F487E" w:rsidRDefault="7F2191F8" w:rsidP="00137873">
            <w:pPr>
              <w:widowControl w:val="0"/>
              <w:spacing w:line="240" w:lineRule="auto"/>
            </w:pPr>
            <w:r>
              <w:t>1</w:t>
            </w:r>
            <w:r w:rsidR="003C5E98">
              <w:t>.0</w:t>
            </w:r>
          </w:p>
        </w:tc>
      </w:tr>
      <w:tr w:rsidR="008F487E" w14:paraId="63C31F89" w14:textId="77777777" w:rsidTr="5E655118">
        <w:tc>
          <w:tcPr>
            <w:tcW w:w="4362" w:type="dxa"/>
            <w:shd w:val="clear" w:color="auto" w:fill="auto"/>
            <w:tcMar>
              <w:top w:w="100" w:type="dxa"/>
              <w:left w:w="100" w:type="dxa"/>
              <w:bottom w:w="100" w:type="dxa"/>
              <w:right w:w="100" w:type="dxa"/>
            </w:tcMar>
          </w:tcPr>
          <w:p w14:paraId="051F312B" w14:textId="7871138C" w:rsidR="008F487E" w:rsidRDefault="7F2191F8" w:rsidP="00137873">
            <w:pPr>
              <w:widowControl w:val="0"/>
              <w:spacing w:line="240" w:lineRule="auto"/>
            </w:pPr>
            <w:r>
              <w:t>RBET-Aylesbury</w:t>
            </w:r>
            <w:r w:rsidR="008F487E">
              <w:t xml:space="preserve"> approving body </w:t>
            </w:r>
          </w:p>
        </w:tc>
        <w:tc>
          <w:tcPr>
            <w:tcW w:w="4638" w:type="dxa"/>
            <w:shd w:val="clear" w:color="auto" w:fill="auto"/>
            <w:tcMar>
              <w:top w:w="100" w:type="dxa"/>
              <w:left w:w="100" w:type="dxa"/>
              <w:bottom w:w="100" w:type="dxa"/>
              <w:right w:w="100" w:type="dxa"/>
            </w:tcMar>
          </w:tcPr>
          <w:p w14:paraId="18ADEF54" w14:textId="77777777" w:rsidR="008F487E" w:rsidRDefault="008F487E" w:rsidP="00137873">
            <w:pPr>
              <w:widowControl w:val="0"/>
              <w:spacing w:line="240" w:lineRule="auto"/>
            </w:pPr>
            <w:r>
              <w:t>Red Balloon Educational Trust</w:t>
            </w:r>
          </w:p>
        </w:tc>
      </w:tr>
      <w:tr w:rsidR="008F487E" w14:paraId="751FE374" w14:textId="77777777" w:rsidTr="5E655118">
        <w:tc>
          <w:tcPr>
            <w:tcW w:w="4362" w:type="dxa"/>
            <w:shd w:val="clear" w:color="auto" w:fill="auto"/>
            <w:tcMar>
              <w:top w:w="100" w:type="dxa"/>
              <w:left w:w="100" w:type="dxa"/>
              <w:bottom w:w="100" w:type="dxa"/>
              <w:right w:w="100" w:type="dxa"/>
            </w:tcMar>
          </w:tcPr>
          <w:p w14:paraId="4F9DC98C" w14:textId="77777777" w:rsidR="008F487E" w:rsidRDefault="008F487E" w:rsidP="00137873">
            <w:pPr>
              <w:widowControl w:val="0"/>
              <w:spacing w:line="240" w:lineRule="auto"/>
            </w:pPr>
            <w:r>
              <w:t>Date of meeting when version approved</w:t>
            </w:r>
          </w:p>
        </w:tc>
        <w:tc>
          <w:tcPr>
            <w:tcW w:w="4638" w:type="dxa"/>
            <w:shd w:val="clear" w:color="auto" w:fill="auto"/>
            <w:tcMar>
              <w:top w:w="100" w:type="dxa"/>
              <w:left w:w="100" w:type="dxa"/>
              <w:bottom w:w="100" w:type="dxa"/>
              <w:right w:w="100" w:type="dxa"/>
            </w:tcMar>
          </w:tcPr>
          <w:p w14:paraId="7349E695" w14:textId="14044FC8" w:rsidR="008F487E" w:rsidRDefault="00034B7B" w:rsidP="00137873">
            <w:pPr>
              <w:widowControl w:val="0"/>
              <w:spacing w:line="240" w:lineRule="auto"/>
            </w:pPr>
            <w:r>
              <w:t>22 July 2024</w:t>
            </w:r>
          </w:p>
        </w:tc>
      </w:tr>
      <w:tr w:rsidR="00034B7B" w14:paraId="24E1A077" w14:textId="77777777" w:rsidTr="5E655118">
        <w:tc>
          <w:tcPr>
            <w:tcW w:w="4362" w:type="dxa"/>
            <w:shd w:val="clear" w:color="auto" w:fill="auto"/>
            <w:tcMar>
              <w:top w:w="100" w:type="dxa"/>
              <w:left w:w="100" w:type="dxa"/>
              <w:bottom w:w="100" w:type="dxa"/>
              <w:right w:w="100" w:type="dxa"/>
            </w:tcMar>
          </w:tcPr>
          <w:p w14:paraId="6AC09F5B" w14:textId="77777777" w:rsidR="00034B7B" w:rsidRDefault="00034B7B" w:rsidP="00137873">
            <w:pPr>
              <w:widowControl w:val="0"/>
              <w:spacing w:line="240" w:lineRule="auto"/>
            </w:pPr>
          </w:p>
          <w:p w14:paraId="0E317A0D" w14:textId="77777777" w:rsidR="00034B7B" w:rsidRDefault="00034B7B" w:rsidP="00137873">
            <w:pPr>
              <w:widowControl w:val="0"/>
              <w:spacing w:line="240" w:lineRule="auto"/>
            </w:pPr>
          </w:p>
          <w:p w14:paraId="5C7208C2" w14:textId="77777777" w:rsidR="00034B7B" w:rsidRDefault="00034B7B" w:rsidP="00137873">
            <w:pPr>
              <w:widowControl w:val="0"/>
              <w:spacing w:line="240" w:lineRule="auto"/>
            </w:pPr>
            <w:r>
              <w:t>Signed:</w:t>
            </w:r>
          </w:p>
          <w:p w14:paraId="705BB2A1" w14:textId="77777777" w:rsidR="00034B7B" w:rsidRDefault="00034B7B" w:rsidP="00137873">
            <w:pPr>
              <w:widowControl w:val="0"/>
              <w:spacing w:line="240" w:lineRule="auto"/>
            </w:pPr>
          </w:p>
          <w:p w14:paraId="30995366" w14:textId="77777777" w:rsidR="00034B7B" w:rsidRDefault="00034B7B" w:rsidP="00137873">
            <w:pPr>
              <w:widowControl w:val="0"/>
              <w:spacing w:line="240" w:lineRule="auto"/>
            </w:pPr>
          </w:p>
          <w:p w14:paraId="0D5A4CDD" w14:textId="14EEC82B" w:rsidR="00034B7B" w:rsidRDefault="00034B7B" w:rsidP="00137873">
            <w:pPr>
              <w:widowControl w:val="0"/>
              <w:spacing w:line="240" w:lineRule="auto"/>
            </w:pPr>
            <w:r>
              <w:t>Date:</w:t>
            </w:r>
          </w:p>
        </w:tc>
        <w:tc>
          <w:tcPr>
            <w:tcW w:w="4638" w:type="dxa"/>
            <w:shd w:val="clear" w:color="auto" w:fill="auto"/>
            <w:tcMar>
              <w:top w:w="100" w:type="dxa"/>
              <w:left w:w="100" w:type="dxa"/>
              <w:bottom w:w="100" w:type="dxa"/>
              <w:right w:w="100" w:type="dxa"/>
            </w:tcMar>
          </w:tcPr>
          <w:p w14:paraId="5C438211" w14:textId="77777777" w:rsidR="00034B7B" w:rsidRDefault="00034B7B" w:rsidP="00137873">
            <w:pPr>
              <w:widowControl w:val="0"/>
              <w:spacing w:line="240" w:lineRule="auto"/>
            </w:pPr>
          </w:p>
        </w:tc>
      </w:tr>
      <w:tr w:rsidR="008F487E" w14:paraId="1EB675F5" w14:textId="77777777" w:rsidTr="5E655118">
        <w:tc>
          <w:tcPr>
            <w:tcW w:w="4362" w:type="dxa"/>
            <w:shd w:val="clear" w:color="auto" w:fill="auto"/>
            <w:tcMar>
              <w:top w:w="100" w:type="dxa"/>
              <w:left w:w="100" w:type="dxa"/>
              <w:bottom w:w="100" w:type="dxa"/>
              <w:right w:w="100" w:type="dxa"/>
            </w:tcMar>
          </w:tcPr>
          <w:p w14:paraId="6365C6C2" w14:textId="77777777" w:rsidR="008F487E" w:rsidRDefault="008F487E" w:rsidP="00137873">
            <w:pPr>
              <w:widowControl w:val="0"/>
              <w:spacing w:line="240" w:lineRule="auto"/>
            </w:pPr>
            <w:r>
              <w:t>Date of next review</w:t>
            </w:r>
          </w:p>
        </w:tc>
        <w:tc>
          <w:tcPr>
            <w:tcW w:w="4638" w:type="dxa"/>
            <w:shd w:val="clear" w:color="auto" w:fill="auto"/>
            <w:tcMar>
              <w:top w:w="100" w:type="dxa"/>
              <w:left w:w="100" w:type="dxa"/>
              <w:bottom w:w="100" w:type="dxa"/>
              <w:right w:w="100" w:type="dxa"/>
            </w:tcMar>
          </w:tcPr>
          <w:p w14:paraId="5286F6CA" w14:textId="6B954896" w:rsidR="008F487E" w:rsidRDefault="035E4ECC" w:rsidP="00137873">
            <w:pPr>
              <w:widowControl w:val="0"/>
              <w:spacing w:line="240" w:lineRule="auto"/>
            </w:pPr>
            <w:r>
              <w:t>September 2025</w:t>
            </w:r>
          </w:p>
        </w:tc>
      </w:tr>
    </w:tbl>
    <w:p w14:paraId="58D7F1EC" w14:textId="77777777" w:rsidR="008F487E" w:rsidRDefault="008F487E" w:rsidP="008F487E"/>
    <w:p w14:paraId="6F68D43B" w14:textId="77777777" w:rsidR="008F487E" w:rsidRDefault="008F487E" w:rsidP="008F487E"/>
    <w:tbl>
      <w:tblPr>
        <w:tblW w:w="91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0"/>
        <w:gridCol w:w="870"/>
      </w:tblGrid>
      <w:tr w:rsidR="008F487E" w14:paraId="774544B8" w14:textId="77777777" w:rsidTr="7D814426">
        <w:tc>
          <w:tcPr>
            <w:tcW w:w="8250" w:type="dxa"/>
            <w:shd w:val="clear" w:color="auto" w:fill="F4CCCC"/>
            <w:tcMar>
              <w:top w:w="100" w:type="dxa"/>
              <w:left w:w="100" w:type="dxa"/>
              <w:bottom w:w="100" w:type="dxa"/>
              <w:right w:w="100" w:type="dxa"/>
            </w:tcMar>
          </w:tcPr>
          <w:p w14:paraId="23A2D20C" w14:textId="5CDAC705" w:rsidR="008F487E" w:rsidRDefault="008F487E" w:rsidP="7D814426">
            <w:pPr>
              <w:widowControl w:val="0"/>
              <w:spacing w:line="240" w:lineRule="auto"/>
              <w:rPr>
                <w:b/>
                <w:bCs/>
              </w:rPr>
            </w:pPr>
            <w:r w:rsidRPr="7D814426">
              <w:rPr>
                <w:b/>
                <w:bCs/>
              </w:rPr>
              <w:t xml:space="preserve">Policy contents </w:t>
            </w:r>
          </w:p>
        </w:tc>
        <w:tc>
          <w:tcPr>
            <w:tcW w:w="870" w:type="dxa"/>
            <w:shd w:val="clear" w:color="auto" w:fill="F4CCCC"/>
            <w:tcMar>
              <w:top w:w="100" w:type="dxa"/>
              <w:left w:w="100" w:type="dxa"/>
              <w:bottom w:w="100" w:type="dxa"/>
              <w:right w:w="100" w:type="dxa"/>
            </w:tcMar>
          </w:tcPr>
          <w:p w14:paraId="3860DE84" w14:textId="77777777" w:rsidR="008F487E" w:rsidRDefault="008F487E" w:rsidP="00137873">
            <w:pPr>
              <w:widowControl w:val="0"/>
              <w:spacing w:line="240" w:lineRule="auto"/>
              <w:rPr>
                <w:b/>
              </w:rPr>
            </w:pPr>
          </w:p>
        </w:tc>
      </w:tr>
      <w:tr w:rsidR="008F487E" w14:paraId="4831FFE3" w14:textId="77777777" w:rsidTr="00276C4F">
        <w:trPr>
          <w:trHeight w:val="2734"/>
        </w:trPr>
        <w:tc>
          <w:tcPr>
            <w:tcW w:w="8250" w:type="dxa"/>
            <w:shd w:val="clear" w:color="auto" w:fill="auto"/>
            <w:tcMar>
              <w:top w:w="100" w:type="dxa"/>
              <w:left w:w="100" w:type="dxa"/>
              <w:bottom w:w="100" w:type="dxa"/>
              <w:right w:w="100" w:type="dxa"/>
            </w:tcMar>
          </w:tcPr>
          <w:p w14:paraId="376A2DB9" w14:textId="77777777" w:rsidR="008F487E" w:rsidRDefault="008F487E" w:rsidP="00276C4F">
            <w:pPr>
              <w:tabs>
                <w:tab w:val="right" w:pos="8790"/>
              </w:tabs>
              <w:spacing w:before="120"/>
              <w:ind w:left="142"/>
            </w:pPr>
            <w:r>
              <w:t>Purpose</w:t>
            </w:r>
          </w:p>
          <w:p w14:paraId="7F68D4D1" w14:textId="29686B33" w:rsidR="008F487E" w:rsidRDefault="008F487E" w:rsidP="00276C4F">
            <w:pPr>
              <w:tabs>
                <w:tab w:val="right" w:pos="8790"/>
              </w:tabs>
              <w:spacing w:before="120"/>
              <w:ind w:left="142"/>
            </w:pPr>
            <w:r>
              <w:t>Scope</w:t>
            </w:r>
          </w:p>
          <w:p w14:paraId="73B9421F" w14:textId="7E177A26" w:rsidR="008F487E" w:rsidRDefault="008F487E" w:rsidP="00276C4F">
            <w:pPr>
              <w:tabs>
                <w:tab w:val="right" w:pos="8790"/>
              </w:tabs>
              <w:spacing w:before="120"/>
              <w:ind w:left="142"/>
            </w:pPr>
            <w:r>
              <w:t>Careers programme</w:t>
            </w:r>
          </w:p>
          <w:p w14:paraId="252A8431" w14:textId="75AC456C" w:rsidR="008F487E" w:rsidRDefault="008F487E" w:rsidP="00276C4F">
            <w:pPr>
              <w:tabs>
                <w:tab w:val="right" w:pos="8790"/>
              </w:tabs>
              <w:spacing w:before="120"/>
              <w:ind w:left="142"/>
            </w:pPr>
            <w:r>
              <w:t>Responsibilities</w:t>
            </w:r>
          </w:p>
          <w:p w14:paraId="6B1E190D" w14:textId="738DC20D" w:rsidR="008F487E" w:rsidRDefault="008F487E" w:rsidP="00276C4F">
            <w:pPr>
              <w:tabs>
                <w:tab w:val="right" w:pos="8790"/>
              </w:tabs>
              <w:spacing w:before="120"/>
              <w:ind w:left="142"/>
            </w:pPr>
            <w:r>
              <w:t>Monitoring and evaluation</w:t>
            </w:r>
          </w:p>
          <w:p w14:paraId="7CB3EBF9" w14:textId="1D0C1E1D" w:rsidR="008F487E" w:rsidRDefault="008F487E" w:rsidP="00276C4F">
            <w:pPr>
              <w:tabs>
                <w:tab w:val="right" w:pos="8790"/>
              </w:tabs>
              <w:spacing w:before="120"/>
              <w:ind w:left="142"/>
            </w:pPr>
            <w:r>
              <w:t>Support for</w:t>
            </w:r>
            <w:r w:rsidR="1E90CDBA">
              <w:t xml:space="preserve"> student</w:t>
            </w:r>
            <w:r>
              <w:t xml:space="preserve">s with </w:t>
            </w:r>
            <w:r w:rsidR="57C23D4E">
              <w:t>s</w:t>
            </w:r>
            <w:r>
              <w:t xml:space="preserve">pecial </w:t>
            </w:r>
            <w:r w:rsidR="35FD93D3">
              <w:t>e</w:t>
            </w:r>
            <w:r>
              <w:t xml:space="preserve">ducational </w:t>
            </w:r>
            <w:r w:rsidR="007C0414">
              <w:t>n</w:t>
            </w:r>
            <w:r>
              <w:t xml:space="preserve">eeds or </w:t>
            </w:r>
            <w:r w:rsidR="43E48989">
              <w:t>d</w:t>
            </w:r>
            <w:r>
              <w:t>isabilities</w:t>
            </w:r>
          </w:p>
        </w:tc>
        <w:tc>
          <w:tcPr>
            <w:tcW w:w="870" w:type="dxa"/>
            <w:shd w:val="clear" w:color="auto" w:fill="auto"/>
            <w:tcMar>
              <w:top w:w="100" w:type="dxa"/>
              <w:left w:w="100" w:type="dxa"/>
              <w:bottom w:w="100" w:type="dxa"/>
              <w:right w:w="100" w:type="dxa"/>
            </w:tcMar>
          </w:tcPr>
          <w:p w14:paraId="019030D4" w14:textId="09BC8BA3" w:rsidR="1E59650C" w:rsidRDefault="1E59650C" w:rsidP="7D814426">
            <w:pPr>
              <w:tabs>
                <w:tab w:val="right" w:pos="8790"/>
              </w:tabs>
              <w:spacing w:before="120"/>
              <w:ind w:left="717" w:hanging="357"/>
            </w:pPr>
            <w:r>
              <w:t>2</w:t>
            </w:r>
          </w:p>
          <w:p w14:paraId="0749358F" w14:textId="368001DA" w:rsidR="008F487E" w:rsidRDefault="1E59650C" w:rsidP="7D814426">
            <w:pPr>
              <w:tabs>
                <w:tab w:val="right" w:pos="8790"/>
              </w:tabs>
              <w:spacing w:before="120"/>
              <w:ind w:left="717" w:hanging="357"/>
            </w:pPr>
            <w:r>
              <w:t>2</w:t>
            </w:r>
          </w:p>
          <w:p w14:paraId="70E1401D" w14:textId="3E301059" w:rsidR="1E59650C" w:rsidRDefault="1E59650C" w:rsidP="7D814426">
            <w:pPr>
              <w:tabs>
                <w:tab w:val="right" w:pos="8790"/>
              </w:tabs>
              <w:spacing w:before="120"/>
              <w:ind w:left="717" w:hanging="357"/>
            </w:pPr>
            <w:r>
              <w:t>2</w:t>
            </w:r>
          </w:p>
          <w:p w14:paraId="57245FD9" w14:textId="2A2ED396" w:rsidR="008F487E" w:rsidRDefault="1E59650C" w:rsidP="7D814426">
            <w:pPr>
              <w:tabs>
                <w:tab w:val="right" w:pos="8790"/>
              </w:tabs>
              <w:spacing w:before="120"/>
              <w:ind w:left="717" w:hanging="357"/>
            </w:pPr>
            <w:r>
              <w:t>2</w:t>
            </w:r>
          </w:p>
          <w:p w14:paraId="5F96D090" w14:textId="226CCFDE" w:rsidR="1E59650C" w:rsidRDefault="1E59650C" w:rsidP="7D814426">
            <w:pPr>
              <w:tabs>
                <w:tab w:val="right" w:pos="8790"/>
              </w:tabs>
              <w:spacing w:before="120"/>
              <w:ind w:left="717" w:hanging="357"/>
            </w:pPr>
            <w:r>
              <w:t>3</w:t>
            </w:r>
          </w:p>
          <w:p w14:paraId="6F5FC5BE" w14:textId="43A9BDB8" w:rsidR="008F487E" w:rsidRDefault="1E59650C" w:rsidP="00034B7B">
            <w:pPr>
              <w:tabs>
                <w:tab w:val="right" w:pos="8790"/>
              </w:tabs>
              <w:spacing w:before="120"/>
              <w:ind w:left="717" w:hanging="357"/>
            </w:pPr>
            <w:r>
              <w:t>3</w:t>
            </w:r>
          </w:p>
        </w:tc>
      </w:tr>
    </w:tbl>
    <w:p w14:paraId="413276AA" w14:textId="77777777" w:rsidR="008F487E" w:rsidRDefault="008F487E" w:rsidP="008F487E">
      <w:r>
        <w:br w:type="page"/>
      </w:r>
    </w:p>
    <w:p w14:paraId="47FF315F" w14:textId="77777777" w:rsidR="008F487E" w:rsidRDefault="008F487E" w:rsidP="008F487E">
      <w:pPr>
        <w:rPr>
          <w:b/>
        </w:rPr>
      </w:pPr>
      <w:r>
        <w:rPr>
          <w:b/>
        </w:rPr>
        <w:t>Purpose</w:t>
      </w:r>
    </w:p>
    <w:p w14:paraId="2415ECA5" w14:textId="77777777" w:rsidR="008F487E" w:rsidRDefault="008F487E" w:rsidP="008F487E">
      <w:pPr>
        <w:shd w:val="clear" w:color="auto" w:fill="FFFFFF"/>
        <w:spacing w:line="300" w:lineRule="auto"/>
        <w:ind w:left="-20"/>
      </w:pPr>
    </w:p>
    <w:p w14:paraId="201ECAFB" w14:textId="71C9D516" w:rsidR="008F487E" w:rsidRDefault="4CBA402D" w:rsidP="7D814426">
      <w:pPr>
        <w:shd w:val="clear" w:color="auto" w:fill="FFFFFF" w:themeFill="background1"/>
        <w:spacing w:line="300" w:lineRule="auto"/>
        <w:ind w:left="-20"/>
      </w:pPr>
      <w:r>
        <w:t>RBET-Aylesbury</w:t>
      </w:r>
      <w:r w:rsidR="008F487E">
        <w:t xml:space="preserve"> </w:t>
      </w:r>
      <w:r w:rsidR="5ED08AB6">
        <w:t>works</w:t>
      </w:r>
      <w:r w:rsidR="008F487E">
        <w:t xml:space="preserve"> with s</w:t>
      </w:r>
      <w:r w:rsidR="1F3C7930">
        <w:t>tudents</w:t>
      </w:r>
      <w:r w:rsidR="008F487E">
        <w:t xml:space="preserve"> who are particularly vulnerable to becoming “not in education, employment or training” (NEET). </w:t>
      </w:r>
      <w:r w:rsidR="6E623621">
        <w:t>We</w:t>
      </w:r>
      <w:r w:rsidR="008F487E">
        <w:t xml:space="preserve"> recognise that </w:t>
      </w:r>
      <w:r w:rsidR="3E3E7416">
        <w:t>we</w:t>
      </w:r>
      <w:r w:rsidR="008F487E">
        <w:t xml:space="preserve"> ha</w:t>
      </w:r>
      <w:r w:rsidR="793C0F62">
        <w:t>ve</w:t>
      </w:r>
      <w:r w:rsidR="008F487E">
        <w:t xml:space="preserve"> a statutory duty to </w:t>
      </w:r>
      <w:r w:rsidR="4A42C4B5">
        <w:t xml:space="preserve">provide </w:t>
      </w:r>
      <w:r w:rsidR="008F487E">
        <w:t xml:space="preserve">careers guidance for all students in year 8 and above, as outlined in (The Education Act 2011 / Career guidance and access for education and training providers January 2018). Our aim is </w:t>
      </w:r>
      <w:r w:rsidR="30E648B2">
        <w:t xml:space="preserve">for </w:t>
      </w:r>
      <w:r w:rsidR="008F487E">
        <w:t xml:space="preserve">all students </w:t>
      </w:r>
      <w:r w:rsidR="262F22E6">
        <w:t xml:space="preserve">to </w:t>
      </w:r>
      <w:r w:rsidR="008F487E">
        <w:t>acquire the</w:t>
      </w:r>
      <w:r w:rsidR="1F33CDC0">
        <w:t xml:space="preserve"> necessary</w:t>
      </w:r>
      <w:r w:rsidR="008F487E">
        <w:t xml:space="preserve"> skills, knowledge and attitudes to manage their learning and career progression. We will support students in making informed decisions by providing access to differentiated, impartial and independent information and guidance about the range of post</w:t>
      </w:r>
      <w:r w:rsidR="283A1361">
        <w:t>-</w:t>
      </w:r>
      <w:r w:rsidR="008F487E">
        <w:t xml:space="preserve">16 pathways available to them. </w:t>
      </w:r>
      <w:r>
        <w:t>RBET-Aylesbury</w:t>
      </w:r>
      <w:r w:rsidR="008F487E">
        <w:t xml:space="preserve"> is committed to ensuring that the careers advice students receive:  </w:t>
      </w:r>
    </w:p>
    <w:p w14:paraId="585DD593" w14:textId="6895C82B" w:rsidR="008F487E" w:rsidRDefault="5DE6F732" w:rsidP="003C5E98">
      <w:pPr>
        <w:numPr>
          <w:ilvl w:val="0"/>
          <w:numId w:val="1"/>
        </w:numPr>
        <w:shd w:val="clear" w:color="auto" w:fill="FFFFFF" w:themeFill="background1"/>
        <w:spacing w:before="120" w:line="300" w:lineRule="auto"/>
        <w:ind w:left="924" w:hanging="357"/>
      </w:pPr>
      <w:r>
        <w:t>i</w:t>
      </w:r>
      <w:r w:rsidR="008F487E">
        <w:t>ncludes information on a range of education or training options, including apprenticeship and other vocational pathways</w:t>
      </w:r>
      <w:r w:rsidR="1C28A0DD">
        <w:t>;</w:t>
      </w:r>
      <w:r w:rsidR="008F487E">
        <w:t xml:space="preserve">  </w:t>
      </w:r>
    </w:p>
    <w:p w14:paraId="22D752CD" w14:textId="4C58C399" w:rsidR="008F487E" w:rsidRDefault="442C1BA7" w:rsidP="7D814426">
      <w:pPr>
        <w:numPr>
          <w:ilvl w:val="0"/>
          <w:numId w:val="1"/>
        </w:numPr>
        <w:shd w:val="clear" w:color="auto" w:fill="FFFFFF" w:themeFill="background1"/>
        <w:spacing w:line="300" w:lineRule="auto"/>
        <w:ind w:left="924" w:hanging="357"/>
      </w:pPr>
      <w:r>
        <w:t>i</w:t>
      </w:r>
      <w:r w:rsidR="008F487E">
        <w:t>s impartial</w:t>
      </w:r>
      <w:r w:rsidR="2D928C4A">
        <w:t>;</w:t>
      </w:r>
      <w:r w:rsidR="008F487E">
        <w:t xml:space="preserve">  </w:t>
      </w:r>
    </w:p>
    <w:p w14:paraId="3990599D" w14:textId="488910CC" w:rsidR="008F487E" w:rsidRDefault="32F1BC94" w:rsidP="7D814426">
      <w:pPr>
        <w:numPr>
          <w:ilvl w:val="0"/>
          <w:numId w:val="1"/>
        </w:numPr>
        <w:shd w:val="clear" w:color="auto" w:fill="FFFFFF" w:themeFill="background1"/>
        <w:spacing w:line="300" w:lineRule="auto"/>
        <w:ind w:left="924" w:hanging="357"/>
      </w:pPr>
      <w:r>
        <w:t>i</w:t>
      </w:r>
      <w:r w:rsidR="008F487E">
        <w:t>s in the best interests of the students</w:t>
      </w:r>
      <w:r w:rsidR="0CBB7FCA">
        <w:t>;</w:t>
      </w:r>
    </w:p>
    <w:p w14:paraId="71CABF63" w14:textId="774BCD47" w:rsidR="008F487E" w:rsidRDefault="7F4348B6" w:rsidP="7D814426">
      <w:pPr>
        <w:numPr>
          <w:ilvl w:val="0"/>
          <w:numId w:val="1"/>
        </w:numPr>
        <w:shd w:val="clear" w:color="auto" w:fill="FFFFFF" w:themeFill="background1"/>
        <w:spacing w:line="300" w:lineRule="auto"/>
        <w:ind w:left="924" w:hanging="357"/>
      </w:pPr>
      <w:r>
        <w:t>m</w:t>
      </w:r>
      <w:r w:rsidR="008F487E">
        <w:t>eets the needs of the students</w:t>
      </w:r>
      <w:r w:rsidR="6600D828">
        <w:t>.</w:t>
      </w:r>
      <w:r w:rsidR="008F487E">
        <w:t xml:space="preserve"> </w:t>
      </w:r>
    </w:p>
    <w:p w14:paraId="1D5241F1" w14:textId="73A6CB56" w:rsidR="008F487E" w:rsidRDefault="008F487E" w:rsidP="7D814426">
      <w:pPr>
        <w:shd w:val="clear" w:color="auto" w:fill="FFFFFF" w:themeFill="background1"/>
        <w:spacing w:before="120" w:line="300" w:lineRule="auto"/>
      </w:pPr>
      <w:r>
        <w:t>We are committed to ensur</w:t>
      </w:r>
      <w:r w:rsidR="5604D8AA">
        <w:t>ing</w:t>
      </w:r>
      <w:r>
        <w:t xml:space="preserve"> that </w:t>
      </w:r>
      <w:r w:rsidR="4CBA402D">
        <w:t>RBET-Aylesbury</w:t>
      </w:r>
      <w:r>
        <w:t xml:space="preserve"> continues to meet the requirements outlined in the Gatsby Benchmarks.</w:t>
      </w:r>
    </w:p>
    <w:p w14:paraId="7A112C53" w14:textId="1CE6E9A4" w:rsidR="008F487E" w:rsidRDefault="008F487E" w:rsidP="7D814426">
      <w:pPr>
        <w:shd w:val="clear" w:color="auto" w:fill="FFFFFF" w:themeFill="background1"/>
        <w:spacing w:before="240" w:after="120" w:line="300" w:lineRule="auto"/>
        <w:rPr>
          <w:b/>
          <w:bCs/>
        </w:rPr>
      </w:pPr>
      <w:r w:rsidRPr="7D814426">
        <w:rPr>
          <w:b/>
          <w:bCs/>
        </w:rPr>
        <w:t>Scope</w:t>
      </w:r>
    </w:p>
    <w:p w14:paraId="7FDE56C6" w14:textId="77C40163" w:rsidR="008F487E" w:rsidRDefault="008F487E" w:rsidP="7D814426">
      <w:pPr>
        <w:spacing w:before="120"/>
      </w:pPr>
      <w:r>
        <w:t xml:space="preserve">This policy applies to all </w:t>
      </w:r>
      <w:r w:rsidR="4CBA402D">
        <w:t>RBET-Aylesbury</w:t>
      </w:r>
      <w:r>
        <w:t xml:space="preserve"> students between years 8 and 11. </w:t>
      </w:r>
    </w:p>
    <w:p w14:paraId="01278EC3" w14:textId="298AC273" w:rsidR="008F487E" w:rsidRDefault="008F487E" w:rsidP="7D814426">
      <w:pPr>
        <w:spacing w:before="240" w:after="120"/>
        <w:rPr>
          <w:b/>
          <w:bCs/>
        </w:rPr>
      </w:pPr>
      <w:r w:rsidRPr="7D814426">
        <w:rPr>
          <w:b/>
          <w:bCs/>
        </w:rPr>
        <w:t>Careers programme</w:t>
      </w:r>
    </w:p>
    <w:p w14:paraId="4003D1D1" w14:textId="15F51AF9" w:rsidR="008F487E" w:rsidRDefault="008F487E" w:rsidP="7D814426">
      <w:pPr>
        <w:shd w:val="clear" w:color="auto" w:fill="FFFFFF" w:themeFill="background1"/>
        <w:spacing w:before="120" w:line="300" w:lineRule="auto"/>
      </w:pPr>
      <w:r>
        <w:t xml:space="preserve">We are committed to providing a planned Careers programme. This is differentiated to suit the needs of each individual student. Students will leave </w:t>
      </w:r>
      <w:r w:rsidR="4CBA402D">
        <w:t>RBET-Aylesbury</w:t>
      </w:r>
      <w:r>
        <w:t xml:space="preserve"> with the skills and knowledge required to support their entry to further education, training or employment. </w:t>
      </w:r>
      <w:r w:rsidR="4CBA402D">
        <w:t>RBET-Aylesbury</w:t>
      </w:r>
      <w:r>
        <w:t xml:space="preserve"> also works with the </w:t>
      </w:r>
      <w:r w:rsidR="7622066E">
        <w:t>l</w:t>
      </w:r>
      <w:r>
        <w:t xml:space="preserve">ocal </w:t>
      </w:r>
      <w:r w:rsidR="105302C2">
        <w:t>a</w:t>
      </w:r>
      <w:r>
        <w:t xml:space="preserve">uthority and a wide range of voluntary/statutory agencies to support </w:t>
      </w:r>
      <w:r w:rsidR="3227369C">
        <w:t xml:space="preserve">those of </w:t>
      </w:r>
      <w:r>
        <w:t>our students whose circumstances have made them vulnerable or hard to reach, including those with special educational needs and those at risk of being NEET post-16.</w:t>
      </w:r>
    </w:p>
    <w:p w14:paraId="09434724" w14:textId="6C932A02" w:rsidR="008F487E" w:rsidRDefault="4CBA402D" w:rsidP="7D814426">
      <w:pPr>
        <w:shd w:val="clear" w:color="auto" w:fill="FFFFFF" w:themeFill="background1"/>
        <w:spacing w:before="120" w:line="300" w:lineRule="auto"/>
      </w:pPr>
      <w:r>
        <w:t>RBET-Aylesbury</w:t>
      </w:r>
      <w:r w:rsidR="008F487E">
        <w:t xml:space="preserve"> works closely with ELSA (Education, Learning, Skills, and Achievement) to deliver our Careers Programme. The aim of our Careers Programme is to raise the aspirations of our </w:t>
      </w:r>
      <w:r w:rsidR="418ADE3A">
        <w:t>student</w:t>
      </w:r>
      <w:r w:rsidR="008F487E">
        <w:t xml:space="preserve">s and to support them in making realistic decisions for post 16. </w:t>
      </w:r>
    </w:p>
    <w:p w14:paraId="0B3A87FC" w14:textId="6E181326" w:rsidR="008F487E" w:rsidRDefault="008F487E" w:rsidP="7D814426">
      <w:pPr>
        <w:spacing w:before="240" w:after="120"/>
        <w:rPr>
          <w:b/>
          <w:bCs/>
        </w:rPr>
      </w:pPr>
      <w:r w:rsidRPr="7D814426">
        <w:rPr>
          <w:b/>
          <w:bCs/>
        </w:rPr>
        <w:t xml:space="preserve">Responsibilities </w:t>
      </w:r>
    </w:p>
    <w:p w14:paraId="5F7F8684" w14:textId="024EB6B2" w:rsidR="008F487E" w:rsidRDefault="008F487E" w:rsidP="7D814426">
      <w:pPr>
        <w:shd w:val="clear" w:color="auto" w:fill="FFFFFF" w:themeFill="background1"/>
        <w:spacing w:before="120" w:line="300" w:lineRule="auto"/>
      </w:pPr>
      <w:r>
        <w:t xml:space="preserve">All staff have the responsibility to contribute to the overall careers programme within the </w:t>
      </w:r>
      <w:r w:rsidR="71C9C09E">
        <w:t>Centre</w:t>
      </w:r>
      <w:r>
        <w:t xml:space="preserve">. The Transitions Lead has the overall responsibility for overseeing the Careers Education Provision. Teaching </w:t>
      </w:r>
      <w:r w:rsidR="218119A0">
        <w:t>s</w:t>
      </w:r>
      <w:r>
        <w:t xml:space="preserve">taff are also responsible for the delivery of careers education by embedding Careers into their subject area and contributing to the effectiveness of the overall programme. </w:t>
      </w:r>
    </w:p>
    <w:p w14:paraId="414327F6" w14:textId="77777777" w:rsidR="003C5E98" w:rsidRDefault="003C5E98" w:rsidP="7D814426">
      <w:pPr>
        <w:shd w:val="clear" w:color="auto" w:fill="FFFFFF" w:themeFill="background1"/>
        <w:spacing w:before="240" w:after="120" w:line="300" w:lineRule="auto"/>
        <w:rPr>
          <w:b/>
          <w:bCs/>
        </w:rPr>
      </w:pPr>
    </w:p>
    <w:p w14:paraId="47152576" w14:textId="77777777" w:rsidR="003C5E98" w:rsidRDefault="003C5E98" w:rsidP="7D814426">
      <w:pPr>
        <w:shd w:val="clear" w:color="auto" w:fill="FFFFFF" w:themeFill="background1"/>
        <w:spacing w:before="240" w:after="120" w:line="300" w:lineRule="auto"/>
        <w:rPr>
          <w:b/>
          <w:bCs/>
        </w:rPr>
      </w:pPr>
    </w:p>
    <w:p w14:paraId="6CEAE306" w14:textId="4860DD43" w:rsidR="008F487E" w:rsidRDefault="008F487E" w:rsidP="7D814426">
      <w:pPr>
        <w:shd w:val="clear" w:color="auto" w:fill="FFFFFF" w:themeFill="background1"/>
        <w:spacing w:before="240" w:after="120" w:line="300" w:lineRule="auto"/>
        <w:rPr>
          <w:b/>
          <w:bCs/>
        </w:rPr>
      </w:pPr>
      <w:r w:rsidRPr="7D814426">
        <w:rPr>
          <w:b/>
          <w:bCs/>
        </w:rPr>
        <w:t xml:space="preserve">Monitoring and evaluation </w:t>
      </w:r>
    </w:p>
    <w:p w14:paraId="463059BC" w14:textId="564D948A" w:rsidR="008F487E" w:rsidRDefault="008F487E" w:rsidP="7D814426">
      <w:pPr>
        <w:shd w:val="clear" w:color="auto" w:fill="FFFFFF" w:themeFill="background1"/>
        <w:spacing w:line="300" w:lineRule="auto"/>
        <w:rPr>
          <w:b/>
          <w:bCs/>
        </w:rPr>
      </w:pPr>
      <w:r>
        <w:t xml:space="preserve">The Transitions Lead and Head of Centre meet on a regular basis to develop, monitor and evaluate careers guidance across </w:t>
      </w:r>
      <w:r w:rsidR="4CBA402D">
        <w:t>RBET-Aylesbury</w:t>
      </w:r>
      <w:r>
        <w:t xml:space="preserve">. </w:t>
      </w:r>
    </w:p>
    <w:p w14:paraId="47EF6AF2" w14:textId="77777777" w:rsidR="008F487E" w:rsidRDefault="008F487E" w:rsidP="008F487E">
      <w:pPr>
        <w:shd w:val="clear" w:color="auto" w:fill="FFFFFF"/>
        <w:spacing w:line="300" w:lineRule="auto"/>
      </w:pPr>
    </w:p>
    <w:p w14:paraId="46E6A419" w14:textId="5D75A860" w:rsidR="008F487E" w:rsidRDefault="008F487E" w:rsidP="7D814426">
      <w:pPr>
        <w:rPr>
          <w:b/>
          <w:bCs/>
        </w:rPr>
      </w:pPr>
      <w:r w:rsidRPr="7D814426">
        <w:rPr>
          <w:b/>
          <w:bCs/>
        </w:rPr>
        <w:t xml:space="preserve">Support for </w:t>
      </w:r>
      <w:r w:rsidR="042ADED0" w:rsidRPr="7D814426">
        <w:rPr>
          <w:b/>
          <w:bCs/>
        </w:rPr>
        <w:t>student</w:t>
      </w:r>
      <w:r w:rsidRPr="7D814426">
        <w:rPr>
          <w:b/>
          <w:bCs/>
        </w:rPr>
        <w:t xml:space="preserve">s with </w:t>
      </w:r>
      <w:r w:rsidR="35DE81D9" w:rsidRPr="7D814426">
        <w:rPr>
          <w:b/>
          <w:bCs/>
        </w:rPr>
        <w:t>s</w:t>
      </w:r>
      <w:r w:rsidRPr="7D814426">
        <w:rPr>
          <w:b/>
          <w:bCs/>
        </w:rPr>
        <w:t xml:space="preserve">pecial </w:t>
      </w:r>
      <w:r w:rsidR="117BB9D7" w:rsidRPr="7D814426">
        <w:rPr>
          <w:b/>
          <w:bCs/>
        </w:rPr>
        <w:t>e</w:t>
      </w:r>
      <w:r w:rsidRPr="7D814426">
        <w:rPr>
          <w:b/>
          <w:bCs/>
        </w:rPr>
        <w:t xml:space="preserve">ducational </w:t>
      </w:r>
      <w:r w:rsidR="2825D4BC" w:rsidRPr="7D814426">
        <w:rPr>
          <w:b/>
          <w:bCs/>
        </w:rPr>
        <w:t>n</w:t>
      </w:r>
      <w:r w:rsidRPr="7D814426">
        <w:rPr>
          <w:b/>
          <w:bCs/>
        </w:rPr>
        <w:t xml:space="preserve">eeds or </w:t>
      </w:r>
      <w:r w:rsidR="0C4300DB" w:rsidRPr="7D814426">
        <w:rPr>
          <w:b/>
          <w:bCs/>
        </w:rPr>
        <w:t>d</w:t>
      </w:r>
      <w:r w:rsidRPr="7D814426">
        <w:rPr>
          <w:b/>
          <w:bCs/>
        </w:rPr>
        <w:t xml:space="preserve">isabilities </w:t>
      </w:r>
    </w:p>
    <w:p w14:paraId="19323949" w14:textId="77777777" w:rsidR="008F487E" w:rsidRDefault="008F487E" w:rsidP="008F487E">
      <w:pPr>
        <w:shd w:val="clear" w:color="auto" w:fill="FFFFFF"/>
        <w:spacing w:line="300" w:lineRule="auto"/>
      </w:pPr>
    </w:p>
    <w:p w14:paraId="36CC7611" w14:textId="76E103C2" w:rsidR="008F487E" w:rsidRDefault="4CBA402D" w:rsidP="5E655118">
      <w:pPr>
        <w:shd w:val="clear" w:color="auto" w:fill="FFFFFF" w:themeFill="background1"/>
        <w:spacing w:line="300" w:lineRule="auto"/>
      </w:pPr>
      <w:r>
        <w:t>RBET-Aylesbury</w:t>
      </w:r>
      <w:r w:rsidR="008F487E">
        <w:t xml:space="preserve"> has high aspirations for all students with special educational needs and disabilities (SEND) and will support them in preparing for their next phase of education or training. Further information about outcomes for students with SEND can be found in the SEND policy. </w:t>
      </w:r>
    </w:p>
    <w:p w14:paraId="5CDA4E21" w14:textId="77777777" w:rsidR="008F487E" w:rsidRDefault="008F487E" w:rsidP="008F487E">
      <w:pPr>
        <w:shd w:val="clear" w:color="auto" w:fill="FFFFFF"/>
        <w:spacing w:line="300" w:lineRule="auto"/>
      </w:pPr>
    </w:p>
    <w:p w14:paraId="25B6751B" w14:textId="77777777" w:rsidR="008F487E" w:rsidRDefault="008F487E"/>
    <w:sectPr w:rsidR="008F487E">
      <w:headerReference w:type="default" r:id="rId11"/>
      <w:footerReference w:type="default" r:id="rId12"/>
      <w:pgSz w:w="11906" w:h="16838"/>
      <w:pgMar w:top="900" w:right="1440" w:bottom="99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A075E" w14:textId="77777777" w:rsidR="009F61ED" w:rsidRDefault="009F61ED">
      <w:pPr>
        <w:spacing w:line="240" w:lineRule="auto"/>
      </w:pPr>
      <w:r>
        <w:separator/>
      </w:r>
    </w:p>
  </w:endnote>
  <w:endnote w:type="continuationSeparator" w:id="0">
    <w:p w14:paraId="3016EB71" w14:textId="77777777" w:rsidR="009F61ED" w:rsidRDefault="009F61ED">
      <w:pPr>
        <w:spacing w:line="240" w:lineRule="auto"/>
      </w:pPr>
      <w:r>
        <w:continuationSeparator/>
      </w:r>
    </w:p>
  </w:endnote>
  <w:endnote w:type="continuationNotice" w:id="1">
    <w:p w14:paraId="610C0012" w14:textId="77777777" w:rsidR="009F61ED" w:rsidRDefault="009F61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D814426" w14:paraId="349F5477" w14:textId="77777777" w:rsidTr="7D814426">
      <w:trPr>
        <w:trHeight w:val="300"/>
      </w:trPr>
      <w:tc>
        <w:tcPr>
          <w:tcW w:w="3005" w:type="dxa"/>
        </w:tcPr>
        <w:p w14:paraId="6D4A7D35" w14:textId="4CD5B22A" w:rsidR="7D814426" w:rsidRDefault="7D814426" w:rsidP="7D814426">
          <w:pPr>
            <w:pStyle w:val="Header"/>
            <w:ind w:left="-115"/>
          </w:pPr>
        </w:p>
      </w:tc>
      <w:tc>
        <w:tcPr>
          <w:tcW w:w="3005" w:type="dxa"/>
        </w:tcPr>
        <w:p w14:paraId="20E78719" w14:textId="6CBB5A58" w:rsidR="7D814426" w:rsidRDefault="7D814426" w:rsidP="7D814426">
          <w:pPr>
            <w:pStyle w:val="Header"/>
            <w:jc w:val="center"/>
          </w:pPr>
        </w:p>
      </w:tc>
      <w:tc>
        <w:tcPr>
          <w:tcW w:w="3005" w:type="dxa"/>
        </w:tcPr>
        <w:p w14:paraId="7D1C3A9D" w14:textId="35D9F7B4" w:rsidR="7D814426" w:rsidRDefault="7D814426" w:rsidP="7D814426">
          <w:pPr>
            <w:pStyle w:val="Header"/>
            <w:ind w:right="-115"/>
            <w:jc w:val="right"/>
          </w:pPr>
          <w:r>
            <w:fldChar w:fldCharType="begin"/>
          </w:r>
          <w:r>
            <w:instrText>PAGE</w:instrText>
          </w:r>
          <w:r>
            <w:fldChar w:fldCharType="separate"/>
          </w:r>
          <w:r w:rsidR="003C5E98">
            <w:rPr>
              <w:noProof/>
            </w:rPr>
            <w:t>1</w:t>
          </w:r>
          <w:r>
            <w:fldChar w:fldCharType="end"/>
          </w:r>
        </w:p>
      </w:tc>
    </w:tr>
  </w:tbl>
  <w:p w14:paraId="00488DF8" w14:textId="6BB35CF4" w:rsidR="7D814426" w:rsidRDefault="7D814426" w:rsidP="7D814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A19AC" w14:textId="77777777" w:rsidR="009F61ED" w:rsidRDefault="009F61ED">
      <w:pPr>
        <w:spacing w:line="240" w:lineRule="auto"/>
      </w:pPr>
      <w:r>
        <w:separator/>
      </w:r>
    </w:p>
  </w:footnote>
  <w:footnote w:type="continuationSeparator" w:id="0">
    <w:p w14:paraId="463ADC6E" w14:textId="77777777" w:rsidR="009F61ED" w:rsidRDefault="009F61ED">
      <w:pPr>
        <w:spacing w:line="240" w:lineRule="auto"/>
      </w:pPr>
      <w:r>
        <w:continuationSeparator/>
      </w:r>
    </w:p>
  </w:footnote>
  <w:footnote w:type="continuationNotice" w:id="1">
    <w:p w14:paraId="0D8F9614" w14:textId="77777777" w:rsidR="009F61ED" w:rsidRDefault="009F61E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DE2A" w14:textId="26305DBA" w:rsidR="0058472A" w:rsidRDefault="00584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7A9B"/>
    <w:multiLevelType w:val="multilevel"/>
    <w:tmpl w:val="9C5C1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B479E6"/>
    <w:multiLevelType w:val="multilevel"/>
    <w:tmpl w:val="8A6E2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2773563">
    <w:abstractNumId w:val="1"/>
  </w:num>
  <w:num w:numId="2" w16cid:durableId="164072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7E"/>
    <w:rsid w:val="00034B7B"/>
    <w:rsid w:val="00137873"/>
    <w:rsid w:val="00171586"/>
    <w:rsid w:val="0018253A"/>
    <w:rsid w:val="00267D00"/>
    <w:rsid w:val="00276C4F"/>
    <w:rsid w:val="002A5356"/>
    <w:rsid w:val="00377A81"/>
    <w:rsid w:val="003C5E98"/>
    <w:rsid w:val="003F2DF2"/>
    <w:rsid w:val="00407B3F"/>
    <w:rsid w:val="004B4B0E"/>
    <w:rsid w:val="0058472A"/>
    <w:rsid w:val="0060171A"/>
    <w:rsid w:val="006E1C8A"/>
    <w:rsid w:val="0070000A"/>
    <w:rsid w:val="00710BA3"/>
    <w:rsid w:val="00783734"/>
    <w:rsid w:val="007C0414"/>
    <w:rsid w:val="007F03FC"/>
    <w:rsid w:val="00880035"/>
    <w:rsid w:val="008D0628"/>
    <w:rsid w:val="008F487E"/>
    <w:rsid w:val="00932EE3"/>
    <w:rsid w:val="009F61ED"/>
    <w:rsid w:val="00A13665"/>
    <w:rsid w:val="00D33574"/>
    <w:rsid w:val="00D9298A"/>
    <w:rsid w:val="00D949B5"/>
    <w:rsid w:val="00E6765E"/>
    <w:rsid w:val="035E4ECC"/>
    <w:rsid w:val="042ADED0"/>
    <w:rsid w:val="048586C6"/>
    <w:rsid w:val="0573A416"/>
    <w:rsid w:val="0C4300DB"/>
    <w:rsid w:val="0CBB7FCA"/>
    <w:rsid w:val="105302C2"/>
    <w:rsid w:val="117BB9D7"/>
    <w:rsid w:val="1724EAAB"/>
    <w:rsid w:val="1B5B83AB"/>
    <w:rsid w:val="1C28A0DD"/>
    <w:rsid w:val="1E59650C"/>
    <w:rsid w:val="1E90CDBA"/>
    <w:rsid w:val="1F33CDC0"/>
    <w:rsid w:val="1F3C7930"/>
    <w:rsid w:val="1FE1763B"/>
    <w:rsid w:val="218119A0"/>
    <w:rsid w:val="262F22E6"/>
    <w:rsid w:val="2825D4BC"/>
    <w:rsid w:val="283A1361"/>
    <w:rsid w:val="2C594C4F"/>
    <w:rsid w:val="2D17BAC7"/>
    <w:rsid w:val="2D928C4A"/>
    <w:rsid w:val="2DE39506"/>
    <w:rsid w:val="2EE29133"/>
    <w:rsid w:val="30E648B2"/>
    <w:rsid w:val="3227369C"/>
    <w:rsid w:val="32F1BC94"/>
    <w:rsid w:val="34466FDD"/>
    <w:rsid w:val="35860353"/>
    <w:rsid w:val="35DE81D9"/>
    <w:rsid w:val="35FD93D3"/>
    <w:rsid w:val="3E3E7416"/>
    <w:rsid w:val="416041B0"/>
    <w:rsid w:val="418ADE3A"/>
    <w:rsid w:val="43E48989"/>
    <w:rsid w:val="442C1BA7"/>
    <w:rsid w:val="4A42C4B5"/>
    <w:rsid w:val="4CBA402D"/>
    <w:rsid w:val="4E4D9B54"/>
    <w:rsid w:val="5604D8AA"/>
    <w:rsid w:val="57C23D4E"/>
    <w:rsid w:val="5B3DC512"/>
    <w:rsid w:val="5DE6F732"/>
    <w:rsid w:val="5E655118"/>
    <w:rsid w:val="5ED08AB6"/>
    <w:rsid w:val="6600D828"/>
    <w:rsid w:val="663F5611"/>
    <w:rsid w:val="6673A2F5"/>
    <w:rsid w:val="6E623621"/>
    <w:rsid w:val="71C9C09E"/>
    <w:rsid w:val="7622066E"/>
    <w:rsid w:val="793C0F62"/>
    <w:rsid w:val="79A1FCFC"/>
    <w:rsid w:val="7D814426"/>
    <w:rsid w:val="7F2191F8"/>
    <w:rsid w:val="7F4348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0704"/>
  <w15:chartTrackingRefBased/>
  <w15:docId w15:val="{56D3D47E-C7E3-4727-884E-DDF682D9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87E"/>
    <w:pPr>
      <w:spacing w:after="0" w:line="276" w:lineRule="auto"/>
    </w:pPr>
    <w:rPr>
      <w:rFonts w:ascii="Arial" w:eastAsia="Arial" w:hAnsi="Arial" w:cs="Arial"/>
      <w:kern w:val="0"/>
      <w:lang w:eastAsia="en-GB"/>
      <w14:ligatures w14:val="none"/>
    </w:rPr>
  </w:style>
  <w:style w:type="paragraph" w:styleId="Heading3">
    <w:name w:val="heading 3"/>
    <w:basedOn w:val="Normal"/>
    <w:next w:val="Normal"/>
    <w:link w:val="Heading3Char"/>
    <w:uiPriority w:val="9"/>
    <w:unhideWhenUsed/>
    <w:qFormat/>
    <w:rsid w:val="008F487E"/>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487E"/>
    <w:rPr>
      <w:rFonts w:ascii="Arial" w:eastAsia="Arial" w:hAnsi="Arial" w:cs="Arial"/>
      <w:color w:val="434343"/>
      <w:kern w:val="0"/>
      <w:sz w:val="28"/>
      <w:szCs w:val="28"/>
      <w:lang w:eastAsia="en-GB"/>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E05C67288A049A9C75F15BAAF8C9E" ma:contentTypeVersion="13" ma:contentTypeDescription="Create a new document." ma:contentTypeScope="" ma:versionID="394456f9de295d34d902e841f8ea492a">
  <xsd:schema xmlns:xsd="http://www.w3.org/2001/XMLSchema" xmlns:xs="http://www.w3.org/2001/XMLSchema" xmlns:p="http://schemas.microsoft.com/office/2006/metadata/properties" xmlns:ns2="cb31d69a-9478-4a74-b55a-9187a7a8d264" xmlns:ns3="e37d5b03-ee2d-4a8c-98ff-300bd74a6b98" targetNamespace="http://schemas.microsoft.com/office/2006/metadata/properties" ma:root="true" ma:fieldsID="f75e7c8b7727b151976951d5e67c3a4f" ns2:_="" ns3:_="">
    <xsd:import namespace="cb31d69a-9478-4a74-b55a-9187a7a8d264"/>
    <xsd:import namespace="e37d5b03-ee2d-4a8c-98ff-300bd74a6b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d69a-9478-4a74-b55a-9187a7a8d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13f50f-4b9c-4790-9667-2b8c8e9b160d}" ma:internalName="TaxCatchAll" ma:showField="CatchAllData" ma:web="cb31d69a-9478-4a74-b55a-9187a7a8d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d5b03-ee2d-4a8c-98ff-300bd74a6b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e71cf9-fb7a-40b5-b3f5-994683ed0b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31d69a-9478-4a74-b55a-9187a7a8d264" xsi:nil="true"/>
    <lcf76f155ced4ddcb4097134ff3c332f xmlns="e37d5b03-ee2d-4a8c-98ff-300bd74a6b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86113-F4B0-43D4-BC23-2BC854D2F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d69a-9478-4a74-b55a-9187a7a8d264"/>
    <ds:schemaRef ds:uri="e37d5b03-ee2d-4a8c-98ff-300bd74a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24427-C66C-445A-A313-C5FCF8784F8B}">
  <ds:schemaRefs>
    <ds:schemaRef ds:uri="http://schemas.microsoft.com/office/2006/metadata/properties"/>
    <ds:schemaRef ds:uri="http://schemas.microsoft.com/office/infopath/2007/PartnerControls"/>
    <ds:schemaRef ds:uri="cb31d69a-9478-4a74-b55a-9187a7a8d264"/>
    <ds:schemaRef ds:uri="e37d5b03-ee2d-4a8c-98ff-300bd74a6b98"/>
  </ds:schemaRefs>
</ds:datastoreItem>
</file>

<file path=customXml/itemProps3.xml><?xml version="1.0" encoding="utf-8"?>
<ds:datastoreItem xmlns:ds="http://schemas.openxmlformats.org/officeDocument/2006/customXml" ds:itemID="{B2B6FFC8-6C73-4990-B126-5D149BFD6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516</Words>
  <Characters>2945</Characters>
  <Application>Microsoft Office Word</Application>
  <DocSecurity>4</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McGuinness</dc:creator>
  <cp:keywords/>
  <dc:description/>
  <cp:lastModifiedBy>Ruth Loshak</cp:lastModifiedBy>
  <cp:revision>12</cp:revision>
  <dcterms:created xsi:type="dcterms:W3CDTF">2024-01-29T19:12:00Z</dcterms:created>
  <dcterms:modified xsi:type="dcterms:W3CDTF">2024-07-09T00:35:00Z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0x010100AB8E05C67288A049A9C75F15BAAF8C9E</vt:lpwstr>
  </property>
  <property fmtid="{D5CDD505-2E9C-101B-9397-08002B2CF9AE}" pid="3" name="MediaServiceImageTags">
    <vt:lpwstr/>
  </property>
</Properties>
</file>