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288D" w14:textId="77777777" w:rsidR="00751ACD" w:rsidRDefault="00751ACD" w:rsidP="00CB4DB4">
      <w:pPr>
        <w:spacing w:before="120"/>
      </w:pPr>
    </w:p>
    <w:p w14:paraId="49D097E4" w14:textId="718599F2" w:rsidR="223B0F31" w:rsidRDefault="223B0F31" w:rsidP="006F3E63">
      <w:pPr>
        <w:spacing w:before="120"/>
        <w:ind w:left="1134" w:right="524" w:firstLine="720"/>
      </w:pPr>
      <w:r>
        <w:rPr>
          <w:noProof/>
        </w:rPr>
        <w:drawing>
          <wp:inline distT="0" distB="0" distL="0" distR="0" wp14:anchorId="65AB2ABF" wp14:editId="2C59E2E8">
            <wp:extent cx="3314870" cy="1739989"/>
            <wp:effectExtent l="0" t="0" r="0" b="0"/>
            <wp:docPr id="1052496208" name="Picture 105249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14870" cy="1739989"/>
                    </a:xfrm>
                    <a:prstGeom prst="rect">
                      <a:avLst/>
                    </a:prstGeom>
                  </pic:spPr>
                </pic:pic>
              </a:graphicData>
            </a:graphic>
          </wp:inline>
        </w:drawing>
      </w:r>
      <w:r>
        <w:t xml:space="preserve">  </w:t>
      </w:r>
    </w:p>
    <w:p w14:paraId="319095B8" w14:textId="77777777" w:rsidR="00751ACD" w:rsidRDefault="00751ACD" w:rsidP="00CB4DB4">
      <w:pPr>
        <w:spacing w:before="120"/>
      </w:pP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4875"/>
      </w:tblGrid>
      <w:tr w:rsidR="00751ACD" w14:paraId="4C7B4336" w14:textId="77777777" w:rsidTr="19186AFF">
        <w:trPr>
          <w:trHeight w:val="420"/>
        </w:trPr>
        <w:tc>
          <w:tcPr>
            <w:tcW w:w="9000" w:type="dxa"/>
            <w:gridSpan w:val="2"/>
            <w:shd w:val="clear" w:color="auto" w:fill="F4CCCC"/>
            <w:tcMar>
              <w:top w:w="100" w:type="dxa"/>
              <w:left w:w="100" w:type="dxa"/>
              <w:bottom w:w="100" w:type="dxa"/>
              <w:right w:w="100" w:type="dxa"/>
            </w:tcMar>
          </w:tcPr>
          <w:p w14:paraId="12CC8E49" w14:textId="77777777" w:rsidR="00751ACD" w:rsidRDefault="00AD1EC3" w:rsidP="00CB4DB4">
            <w:pPr>
              <w:widowControl w:val="0"/>
              <w:spacing w:before="120"/>
              <w:rPr>
                <w:b/>
              </w:rPr>
            </w:pPr>
            <w:r>
              <w:rPr>
                <w:b/>
              </w:rPr>
              <w:t>Policy document control box</w:t>
            </w:r>
          </w:p>
        </w:tc>
      </w:tr>
      <w:tr w:rsidR="00751ACD" w14:paraId="70BC1E85" w14:textId="77777777" w:rsidTr="19186AFF">
        <w:tc>
          <w:tcPr>
            <w:tcW w:w="4125" w:type="dxa"/>
            <w:shd w:val="clear" w:color="auto" w:fill="auto"/>
            <w:tcMar>
              <w:top w:w="100" w:type="dxa"/>
              <w:left w:w="100" w:type="dxa"/>
              <w:bottom w:w="100" w:type="dxa"/>
              <w:right w:w="100" w:type="dxa"/>
            </w:tcMar>
          </w:tcPr>
          <w:p w14:paraId="2FCE4D67" w14:textId="77777777" w:rsidR="00751ACD" w:rsidRDefault="00AD1EC3" w:rsidP="00CB4DB4">
            <w:pPr>
              <w:widowControl w:val="0"/>
              <w:spacing w:before="120"/>
            </w:pPr>
            <w:r>
              <w:t>Policy title</w:t>
            </w:r>
          </w:p>
        </w:tc>
        <w:tc>
          <w:tcPr>
            <w:tcW w:w="4875" w:type="dxa"/>
            <w:shd w:val="clear" w:color="auto" w:fill="auto"/>
            <w:tcMar>
              <w:top w:w="100" w:type="dxa"/>
              <w:left w:w="100" w:type="dxa"/>
              <w:bottom w:w="100" w:type="dxa"/>
              <w:right w:w="100" w:type="dxa"/>
            </w:tcMar>
          </w:tcPr>
          <w:p w14:paraId="187C39A5" w14:textId="77777777" w:rsidR="00751ACD" w:rsidRDefault="00AD1EC3" w:rsidP="00CB4DB4">
            <w:pPr>
              <w:pStyle w:val="Heading3"/>
              <w:keepNext w:val="0"/>
              <w:keepLines w:val="0"/>
              <w:spacing w:before="120" w:after="0"/>
              <w:rPr>
                <w:b/>
                <w:color w:val="000000"/>
                <w:sz w:val="22"/>
                <w:szCs w:val="22"/>
              </w:rPr>
            </w:pPr>
            <w:bookmarkStart w:id="0" w:name="_3g6yksp" w:colFirst="0" w:colLast="0"/>
            <w:bookmarkEnd w:id="0"/>
            <w:r>
              <w:rPr>
                <w:b/>
                <w:color w:val="000000"/>
                <w:sz w:val="22"/>
                <w:szCs w:val="22"/>
              </w:rPr>
              <w:t>Assessment</w:t>
            </w:r>
          </w:p>
        </w:tc>
      </w:tr>
      <w:tr w:rsidR="00751ACD" w14:paraId="3B73F4F7" w14:textId="77777777" w:rsidTr="19186AFF">
        <w:tc>
          <w:tcPr>
            <w:tcW w:w="4125" w:type="dxa"/>
            <w:shd w:val="clear" w:color="auto" w:fill="auto"/>
            <w:tcMar>
              <w:top w:w="100" w:type="dxa"/>
              <w:left w:w="100" w:type="dxa"/>
              <w:bottom w:w="100" w:type="dxa"/>
              <w:right w:w="100" w:type="dxa"/>
            </w:tcMar>
          </w:tcPr>
          <w:p w14:paraId="7BEBBB44" w14:textId="77777777" w:rsidR="00751ACD" w:rsidRDefault="00AD1EC3" w:rsidP="00CB4DB4">
            <w:pPr>
              <w:widowControl w:val="0"/>
              <w:spacing w:before="120"/>
            </w:pPr>
            <w:r>
              <w:t>Policy owner (including job title)</w:t>
            </w:r>
          </w:p>
        </w:tc>
        <w:tc>
          <w:tcPr>
            <w:tcW w:w="4875" w:type="dxa"/>
            <w:shd w:val="clear" w:color="auto" w:fill="auto"/>
            <w:tcMar>
              <w:top w:w="100" w:type="dxa"/>
              <w:left w:w="100" w:type="dxa"/>
              <w:bottom w:w="100" w:type="dxa"/>
              <w:right w:w="100" w:type="dxa"/>
            </w:tcMar>
          </w:tcPr>
          <w:p w14:paraId="1D7C0FB9" w14:textId="52530C50" w:rsidR="00751ACD" w:rsidRDefault="79AD5A78" w:rsidP="00CB4DB4">
            <w:pPr>
              <w:widowControl w:val="0"/>
              <w:spacing w:before="120"/>
            </w:pPr>
            <w:r>
              <w:t>Red Balloon Educational Trust</w:t>
            </w:r>
          </w:p>
        </w:tc>
      </w:tr>
      <w:tr w:rsidR="00751ACD" w14:paraId="40174B9B" w14:textId="77777777" w:rsidTr="19186AFF">
        <w:tc>
          <w:tcPr>
            <w:tcW w:w="4125" w:type="dxa"/>
            <w:shd w:val="clear" w:color="auto" w:fill="auto"/>
            <w:tcMar>
              <w:top w:w="100" w:type="dxa"/>
              <w:left w:w="100" w:type="dxa"/>
              <w:bottom w:w="100" w:type="dxa"/>
              <w:right w:w="100" w:type="dxa"/>
            </w:tcMar>
          </w:tcPr>
          <w:p w14:paraId="6A896984" w14:textId="77777777" w:rsidR="00751ACD" w:rsidRDefault="00AD1EC3" w:rsidP="00CB4DB4">
            <w:pPr>
              <w:widowControl w:val="0"/>
              <w:spacing w:before="120"/>
            </w:pPr>
            <w:r>
              <w:t>Version</w:t>
            </w:r>
          </w:p>
        </w:tc>
        <w:tc>
          <w:tcPr>
            <w:tcW w:w="4875" w:type="dxa"/>
            <w:shd w:val="clear" w:color="auto" w:fill="auto"/>
            <w:tcMar>
              <w:top w:w="100" w:type="dxa"/>
              <w:left w:w="100" w:type="dxa"/>
              <w:bottom w:w="100" w:type="dxa"/>
              <w:right w:w="100" w:type="dxa"/>
            </w:tcMar>
          </w:tcPr>
          <w:p w14:paraId="34A1D93A" w14:textId="67EB81DE" w:rsidR="00751ACD" w:rsidRDefault="76C3909D" w:rsidP="00CB4DB4">
            <w:pPr>
              <w:widowControl w:val="0"/>
              <w:spacing w:before="120"/>
            </w:pPr>
            <w:r>
              <w:t>1</w:t>
            </w:r>
          </w:p>
        </w:tc>
      </w:tr>
      <w:tr w:rsidR="00751ACD" w14:paraId="54D23C33" w14:textId="77777777" w:rsidTr="19186AFF">
        <w:tc>
          <w:tcPr>
            <w:tcW w:w="4125" w:type="dxa"/>
            <w:shd w:val="clear" w:color="auto" w:fill="auto"/>
            <w:tcMar>
              <w:top w:w="100" w:type="dxa"/>
              <w:left w:w="100" w:type="dxa"/>
              <w:bottom w:w="100" w:type="dxa"/>
              <w:right w:w="100" w:type="dxa"/>
            </w:tcMar>
          </w:tcPr>
          <w:p w14:paraId="58BC425D" w14:textId="1877001D" w:rsidR="00751ACD" w:rsidRDefault="01B45A53" w:rsidP="00CB4DB4">
            <w:pPr>
              <w:widowControl w:val="0"/>
              <w:spacing w:before="120"/>
            </w:pPr>
            <w:r>
              <w:t>A</w:t>
            </w:r>
            <w:r w:rsidR="00AD1EC3">
              <w:t xml:space="preserve">pproving body </w:t>
            </w:r>
          </w:p>
        </w:tc>
        <w:tc>
          <w:tcPr>
            <w:tcW w:w="4875" w:type="dxa"/>
            <w:shd w:val="clear" w:color="auto" w:fill="auto"/>
            <w:tcMar>
              <w:top w:w="100" w:type="dxa"/>
              <w:left w:w="100" w:type="dxa"/>
              <w:bottom w:w="100" w:type="dxa"/>
              <w:right w:w="100" w:type="dxa"/>
            </w:tcMar>
          </w:tcPr>
          <w:p w14:paraId="494AC772" w14:textId="301776F6" w:rsidR="00751ACD" w:rsidRDefault="00AD1EC3" w:rsidP="00CB4DB4">
            <w:pPr>
              <w:widowControl w:val="0"/>
              <w:spacing w:before="120"/>
            </w:pPr>
            <w:r>
              <w:t>R</w:t>
            </w:r>
            <w:r w:rsidR="77D4B382">
              <w:t>BET-Aylesbury</w:t>
            </w:r>
          </w:p>
        </w:tc>
      </w:tr>
      <w:tr w:rsidR="00751ACD" w14:paraId="211E4C25" w14:textId="77777777" w:rsidTr="19186AFF">
        <w:tc>
          <w:tcPr>
            <w:tcW w:w="4125" w:type="dxa"/>
            <w:shd w:val="clear" w:color="auto" w:fill="auto"/>
            <w:tcMar>
              <w:top w:w="100" w:type="dxa"/>
              <w:left w:w="100" w:type="dxa"/>
              <w:bottom w:w="100" w:type="dxa"/>
              <w:right w:w="100" w:type="dxa"/>
            </w:tcMar>
          </w:tcPr>
          <w:p w14:paraId="205C5DED" w14:textId="77777777" w:rsidR="00751ACD" w:rsidRDefault="00AD1EC3" w:rsidP="00CB4DB4">
            <w:pPr>
              <w:widowControl w:val="0"/>
              <w:spacing w:before="120"/>
            </w:pPr>
            <w:r>
              <w:t>Date of meeting when version approved</w:t>
            </w:r>
          </w:p>
        </w:tc>
        <w:tc>
          <w:tcPr>
            <w:tcW w:w="4875" w:type="dxa"/>
            <w:shd w:val="clear" w:color="auto" w:fill="auto"/>
            <w:tcMar>
              <w:top w:w="100" w:type="dxa"/>
              <w:left w:w="100" w:type="dxa"/>
              <w:bottom w:w="100" w:type="dxa"/>
              <w:right w:w="100" w:type="dxa"/>
            </w:tcMar>
          </w:tcPr>
          <w:p w14:paraId="128C0812" w14:textId="3322F17D" w:rsidR="00751ACD" w:rsidRDefault="007E2828" w:rsidP="00CB4DB4">
            <w:pPr>
              <w:widowControl w:val="0"/>
              <w:spacing w:before="120"/>
            </w:pPr>
            <w:r>
              <w:t>22 July 2024</w:t>
            </w:r>
          </w:p>
        </w:tc>
      </w:tr>
      <w:tr w:rsidR="007E2828" w14:paraId="0A2B03F7" w14:textId="77777777" w:rsidTr="00191E8D">
        <w:tc>
          <w:tcPr>
            <w:tcW w:w="9000" w:type="dxa"/>
            <w:gridSpan w:val="2"/>
            <w:shd w:val="clear" w:color="auto" w:fill="auto"/>
            <w:tcMar>
              <w:top w:w="100" w:type="dxa"/>
              <w:left w:w="100" w:type="dxa"/>
              <w:bottom w:w="100" w:type="dxa"/>
              <w:right w:w="100" w:type="dxa"/>
            </w:tcMar>
          </w:tcPr>
          <w:p w14:paraId="73B8DDEC" w14:textId="77777777" w:rsidR="007E2828" w:rsidRDefault="007E2828" w:rsidP="00CB4DB4">
            <w:pPr>
              <w:widowControl w:val="0"/>
              <w:spacing w:before="120"/>
            </w:pPr>
          </w:p>
          <w:p w14:paraId="2E1F0409" w14:textId="1B00408B" w:rsidR="007E2828" w:rsidRDefault="007E2828" w:rsidP="00CB4DB4">
            <w:pPr>
              <w:widowControl w:val="0"/>
              <w:spacing w:before="120"/>
            </w:pPr>
            <w:r>
              <w:t>Signed:</w:t>
            </w:r>
          </w:p>
          <w:p w14:paraId="76EAA455" w14:textId="77777777" w:rsidR="007E2828" w:rsidRDefault="007E2828" w:rsidP="00CB4DB4">
            <w:pPr>
              <w:widowControl w:val="0"/>
              <w:spacing w:before="120"/>
            </w:pPr>
          </w:p>
          <w:p w14:paraId="3D83F3C1" w14:textId="7151349C" w:rsidR="007E2828" w:rsidRDefault="007E2828" w:rsidP="00CB4DB4">
            <w:pPr>
              <w:widowControl w:val="0"/>
              <w:spacing w:before="120"/>
            </w:pPr>
            <w:r>
              <w:t>Date:</w:t>
            </w:r>
          </w:p>
        </w:tc>
      </w:tr>
      <w:tr w:rsidR="00751ACD" w14:paraId="53900C9C" w14:textId="77777777" w:rsidTr="19186AFF">
        <w:tc>
          <w:tcPr>
            <w:tcW w:w="4125" w:type="dxa"/>
            <w:shd w:val="clear" w:color="auto" w:fill="auto"/>
            <w:tcMar>
              <w:top w:w="100" w:type="dxa"/>
              <w:left w:w="100" w:type="dxa"/>
              <w:bottom w:w="100" w:type="dxa"/>
              <w:right w:w="100" w:type="dxa"/>
            </w:tcMar>
          </w:tcPr>
          <w:p w14:paraId="225BE45C" w14:textId="77777777" w:rsidR="00751ACD" w:rsidRDefault="00AD1EC3" w:rsidP="00CB4DB4">
            <w:pPr>
              <w:widowControl w:val="0"/>
              <w:spacing w:before="120"/>
            </w:pPr>
            <w:r>
              <w:t>Date of next review</w:t>
            </w:r>
          </w:p>
        </w:tc>
        <w:tc>
          <w:tcPr>
            <w:tcW w:w="4875" w:type="dxa"/>
            <w:shd w:val="clear" w:color="auto" w:fill="auto"/>
            <w:tcMar>
              <w:top w:w="100" w:type="dxa"/>
              <w:left w:w="100" w:type="dxa"/>
              <w:bottom w:w="100" w:type="dxa"/>
              <w:right w:w="100" w:type="dxa"/>
            </w:tcMar>
          </w:tcPr>
          <w:p w14:paraId="3A546AC0" w14:textId="2E65D577" w:rsidR="00751ACD" w:rsidRDefault="6A3E6242" w:rsidP="00CB4DB4">
            <w:pPr>
              <w:widowControl w:val="0"/>
              <w:spacing w:before="120"/>
            </w:pPr>
            <w:r>
              <w:t>September 2025</w:t>
            </w:r>
          </w:p>
        </w:tc>
      </w:tr>
    </w:tbl>
    <w:p w14:paraId="4070960C" w14:textId="77777777" w:rsidR="00751ACD" w:rsidRDefault="00751ACD" w:rsidP="00CB4DB4">
      <w:pPr>
        <w:spacing w:before="120"/>
      </w:pPr>
    </w:p>
    <w:tbl>
      <w:tblPr>
        <w:tblStyle w:val="a0"/>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75"/>
        <w:gridCol w:w="945"/>
      </w:tblGrid>
      <w:tr w:rsidR="00751ACD" w14:paraId="0E3EC3FF" w14:textId="77777777" w:rsidTr="4A808F24">
        <w:tc>
          <w:tcPr>
            <w:tcW w:w="8175" w:type="dxa"/>
            <w:shd w:val="clear" w:color="auto" w:fill="F4CCCC"/>
            <w:tcMar>
              <w:top w:w="100" w:type="dxa"/>
              <w:left w:w="100" w:type="dxa"/>
              <w:bottom w:w="100" w:type="dxa"/>
              <w:right w:w="100" w:type="dxa"/>
            </w:tcMar>
          </w:tcPr>
          <w:p w14:paraId="3A3922C7" w14:textId="77777777" w:rsidR="00751ACD" w:rsidRDefault="00AD1EC3" w:rsidP="00CB4DB4">
            <w:pPr>
              <w:widowControl w:val="0"/>
              <w:spacing w:before="120"/>
              <w:rPr>
                <w:b/>
              </w:rPr>
            </w:pPr>
            <w:r>
              <w:rPr>
                <w:b/>
              </w:rPr>
              <w:t xml:space="preserve">Policy contents: </w:t>
            </w:r>
          </w:p>
        </w:tc>
        <w:tc>
          <w:tcPr>
            <w:tcW w:w="945" w:type="dxa"/>
            <w:shd w:val="clear" w:color="auto" w:fill="F4CCCC"/>
            <w:tcMar>
              <w:top w:w="100" w:type="dxa"/>
              <w:left w:w="100" w:type="dxa"/>
              <w:bottom w:w="100" w:type="dxa"/>
              <w:right w:w="100" w:type="dxa"/>
            </w:tcMar>
          </w:tcPr>
          <w:p w14:paraId="3CF7ECA8" w14:textId="77777777" w:rsidR="00751ACD" w:rsidRDefault="00751ACD" w:rsidP="00CB4DB4">
            <w:pPr>
              <w:widowControl w:val="0"/>
              <w:spacing w:before="120"/>
              <w:rPr>
                <w:b/>
              </w:rPr>
            </w:pPr>
          </w:p>
        </w:tc>
      </w:tr>
      <w:tr w:rsidR="00751ACD" w14:paraId="798A33DA" w14:textId="77777777" w:rsidTr="4A808F24">
        <w:trPr>
          <w:trHeight w:val="420"/>
        </w:trPr>
        <w:tc>
          <w:tcPr>
            <w:tcW w:w="8175" w:type="dxa"/>
            <w:shd w:val="clear" w:color="auto" w:fill="auto"/>
            <w:tcMar>
              <w:top w:w="100" w:type="dxa"/>
              <w:left w:w="100" w:type="dxa"/>
              <w:bottom w:w="100" w:type="dxa"/>
              <w:right w:w="100" w:type="dxa"/>
            </w:tcMar>
          </w:tcPr>
          <w:p w14:paraId="18F1D4BF" w14:textId="77777777" w:rsidR="00751ACD" w:rsidRDefault="00AD1EC3" w:rsidP="00CB4DB4">
            <w:pPr>
              <w:widowControl w:val="0"/>
              <w:numPr>
                <w:ilvl w:val="0"/>
                <w:numId w:val="1"/>
              </w:numPr>
              <w:spacing w:before="120"/>
            </w:pPr>
            <w:r>
              <w:t>Purpose</w:t>
            </w:r>
          </w:p>
          <w:p w14:paraId="107B6554" w14:textId="77777777" w:rsidR="00751ACD" w:rsidRDefault="00AD1EC3" w:rsidP="00CB4DB4">
            <w:pPr>
              <w:widowControl w:val="0"/>
              <w:numPr>
                <w:ilvl w:val="0"/>
                <w:numId w:val="1"/>
              </w:numPr>
              <w:spacing w:before="120"/>
            </w:pPr>
            <w:r>
              <w:t>Scope</w:t>
            </w:r>
            <w:r>
              <w:tab/>
            </w:r>
          </w:p>
          <w:p w14:paraId="68EAF4FF" w14:textId="77777777" w:rsidR="00751ACD" w:rsidRDefault="00AD1EC3" w:rsidP="00CB4DB4">
            <w:pPr>
              <w:widowControl w:val="0"/>
              <w:numPr>
                <w:ilvl w:val="0"/>
                <w:numId w:val="1"/>
              </w:numPr>
              <w:spacing w:before="120"/>
            </w:pPr>
            <w:r>
              <w:t>Policy statement, provision and safeguards</w:t>
            </w:r>
            <w:r>
              <w:tab/>
            </w:r>
          </w:p>
          <w:p w14:paraId="18C5BE4B" w14:textId="77777777" w:rsidR="00751ACD" w:rsidRDefault="00AD1EC3" w:rsidP="00CB4DB4">
            <w:pPr>
              <w:widowControl w:val="0"/>
              <w:numPr>
                <w:ilvl w:val="0"/>
                <w:numId w:val="1"/>
              </w:numPr>
              <w:spacing w:before="120"/>
            </w:pPr>
            <w:r>
              <w:t>Assessment for a purpose</w:t>
            </w:r>
            <w:r>
              <w:tab/>
            </w:r>
          </w:p>
          <w:p w14:paraId="75220D0C" w14:textId="77777777" w:rsidR="00751ACD" w:rsidRDefault="00AD1EC3" w:rsidP="00CB4DB4">
            <w:pPr>
              <w:widowControl w:val="0"/>
              <w:numPr>
                <w:ilvl w:val="0"/>
                <w:numId w:val="1"/>
              </w:numPr>
              <w:spacing w:before="120"/>
            </w:pPr>
            <w:r>
              <w:t>Working with SEND students</w:t>
            </w:r>
            <w:r>
              <w:tab/>
            </w:r>
          </w:p>
          <w:p w14:paraId="365B8257" w14:textId="77777777" w:rsidR="00751ACD" w:rsidRDefault="00AD1EC3" w:rsidP="00CB4DB4">
            <w:pPr>
              <w:widowControl w:val="0"/>
              <w:numPr>
                <w:ilvl w:val="0"/>
                <w:numId w:val="1"/>
              </w:numPr>
              <w:spacing w:before="120"/>
            </w:pPr>
            <w:r>
              <w:t>Legislation / guidance that informs this document</w:t>
            </w:r>
            <w:r>
              <w:tab/>
            </w:r>
          </w:p>
          <w:p w14:paraId="6FA41C8B" w14:textId="033F8A0C" w:rsidR="00751ACD" w:rsidRDefault="00AD1EC3" w:rsidP="00CB4DB4">
            <w:pPr>
              <w:widowControl w:val="0"/>
              <w:numPr>
                <w:ilvl w:val="0"/>
                <w:numId w:val="1"/>
              </w:numPr>
              <w:spacing w:before="120"/>
            </w:pPr>
            <w:r>
              <w:t xml:space="preserve">Other </w:t>
            </w:r>
            <w:r w:rsidR="01BD4506">
              <w:t>RBET-Aylesbury</w:t>
            </w:r>
            <w:r>
              <w:t xml:space="preserve"> policies that should be read in conjunction with this one</w:t>
            </w:r>
            <w:r>
              <w:tab/>
            </w:r>
          </w:p>
        </w:tc>
        <w:tc>
          <w:tcPr>
            <w:tcW w:w="945" w:type="dxa"/>
            <w:shd w:val="clear" w:color="auto" w:fill="auto"/>
            <w:tcMar>
              <w:top w:w="100" w:type="dxa"/>
              <w:left w:w="100" w:type="dxa"/>
              <w:bottom w:w="100" w:type="dxa"/>
              <w:right w:w="100" w:type="dxa"/>
            </w:tcMar>
          </w:tcPr>
          <w:p w14:paraId="05E7F1A4" w14:textId="7D3191F8" w:rsidR="00751ACD" w:rsidRDefault="006F3E63" w:rsidP="00CB4DB4">
            <w:pPr>
              <w:widowControl w:val="0"/>
              <w:spacing w:before="120"/>
              <w:ind w:left="720" w:hanging="360"/>
            </w:pPr>
            <w:r>
              <w:t>2</w:t>
            </w:r>
          </w:p>
          <w:p w14:paraId="2E2DDED8" w14:textId="7F82C76D" w:rsidR="00751ACD" w:rsidRDefault="006F3E63" w:rsidP="00CB4DB4">
            <w:pPr>
              <w:widowControl w:val="0"/>
              <w:spacing w:before="120"/>
              <w:ind w:left="720" w:hanging="360"/>
            </w:pPr>
            <w:r>
              <w:t>2</w:t>
            </w:r>
          </w:p>
          <w:p w14:paraId="30CADC23" w14:textId="744C9BBB" w:rsidR="00751ACD" w:rsidRDefault="006F3E63" w:rsidP="00CB4DB4">
            <w:pPr>
              <w:widowControl w:val="0"/>
              <w:spacing w:before="120"/>
              <w:ind w:left="360"/>
            </w:pPr>
            <w:r>
              <w:t>2</w:t>
            </w:r>
          </w:p>
          <w:p w14:paraId="716BF21E" w14:textId="143E0835" w:rsidR="00751ACD" w:rsidRDefault="006F3E63" w:rsidP="00CB4DB4">
            <w:pPr>
              <w:widowControl w:val="0"/>
              <w:spacing w:before="120"/>
              <w:ind w:left="360"/>
            </w:pPr>
            <w:r>
              <w:t>2</w:t>
            </w:r>
          </w:p>
          <w:p w14:paraId="55346D12" w14:textId="2CB07BAF" w:rsidR="00751ACD" w:rsidRDefault="006F3E63" w:rsidP="00CB4DB4">
            <w:pPr>
              <w:widowControl w:val="0"/>
              <w:spacing w:before="120"/>
              <w:ind w:left="360"/>
            </w:pPr>
            <w:r>
              <w:t>3</w:t>
            </w:r>
          </w:p>
          <w:p w14:paraId="57493543" w14:textId="77777777" w:rsidR="00751ACD" w:rsidRDefault="00AD1EC3" w:rsidP="00CB4DB4">
            <w:pPr>
              <w:widowControl w:val="0"/>
              <w:spacing w:before="120"/>
              <w:ind w:left="360"/>
            </w:pPr>
            <w:r>
              <w:t>3</w:t>
            </w:r>
          </w:p>
          <w:p w14:paraId="2E8D307F" w14:textId="77777777" w:rsidR="00751ACD" w:rsidRDefault="00AD1EC3" w:rsidP="00CB4DB4">
            <w:pPr>
              <w:widowControl w:val="0"/>
              <w:spacing w:before="120"/>
              <w:ind w:left="360"/>
            </w:pPr>
            <w:r>
              <w:t>3</w:t>
            </w:r>
          </w:p>
        </w:tc>
      </w:tr>
    </w:tbl>
    <w:p w14:paraId="76E5A173" w14:textId="77777777" w:rsidR="006F3E63" w:rsidRDefault="006F3E63" w:rsidP="00CB4DB4">
      <w:pPr>
        <w:pStyle w:val="Para1"/>
      </w:pPr>
    </w:p>
    <w:p w14:paraId="42E8341E" w14:textId="3FB3FC5F" w:rsidR="00751ACD" w:rsidRDefault="00AD1EC3" w:rsidP="00CB4DB4">
      <w:pPr>
        <w:pStyle w:val="Para1"/>
      </w:pPr>
      <w:r>
        <w:t>Purpose</w:t>
      </w:r>
    </w:p>
    <w:p w14:paraId="612433F8" w14:textId="09F25F4F" w:rsidR="00751ACD" w:rsidRDefault="01BD4506" w:rsidP="00CB4DB4">
      <w:pPr>
        <w:widowControl w:val="0"/>
        <w:spacing w:before="120"/>
        <w:ind w:right="-95"/>
        <w:rPr>
          <w:highlight w:val="white"/>
        </w:rPr>
      </w:pPr>
      <w:r w:rsidRPr="4A808F24">
        <w:rPr>
          <w:highlight w:val="white"/>
        </w:rPr>
        <w:t>RBET-Aylesbury</w:t>
      </w:r>
      <w:r w:rsidR="00AD1EC3" w:rsidRPr="4A808F24">
        <w:rPr>
          <w:highlight w:val="white"/>
        </w:rPr>
        <w:t xml:space="preserve"> aims to use assessment to inform teaching and learning. </w:t>
      </w:r>
      <w:proofErr w:type="gramStart"/>
      <w:r w:rsidR="00AD1EC3" w:rsidRPr="4A808F24">
        <w:rPr>
          <w:highlight w:val="white"/>
        </w:rPr>
        <w:t>In order to</w:t>
      </w:r>
      <w:proofErr w:type="gramEnd"/>
      <w:r w:rsidR="00AD1EC3" w:rsidRPr="4A808F24">
        <w:rPr>
          <w:highlight w:val="white"/>
        </w:rPr>
        <w:t xml:space="preserve"> learn effectively students need to be in their ‘zone of proximal development’, and for teachers to practise well they need to monitor student progress and use that monitoring to inform future practice. </w:t>
      </w:r>
    </w:p>
    <w:p w14:paraId="44EA9F77" w14:textId="6D068967" w:rsidR="00751ACD" w:rsidRDefault="01BD4506" w:rsidP="00CB4DB4">
      <w:pPr>
        <w:widowControl w:val="0"/>
        <w:spacing w:before="120"/>
        <w:ind w:right="-95"/>
        <w:rPr>
          <w:highlight w:val="white"/>
        </w:rPr>
      </w:pPr>
      <w:r w:rsidRPr="4A808F24">
        <w:rPr>
          <w:highlight w:val="white"/>
        </w:rPr>
        <w:t>RBET-Aylesbury</w:t>
      </w:r>
      <w:r w:rsidR="00AD1EC3" w:rsidRPr="4A808F24">
        <w:rPr>
          <w:highlight w:val="white"/>
        </w:rPr>
        <w:t xml:space="preserve"> believes that effective assessment will seek to gauge the development of the whole person </w:t>
      </w:r>
      <w:proofErr w:type="gramStart"/>
      <w:r w:rsidR="00AD1EC3" w:rsidRPr="4A808F24">
        <w:rPr>
          <w:highlight w:val="white"/>
        </w:rPr>
        <w:t>in order to</w:t>
      </w:r>
      <w:proofErr w:type="gramEnd"/>
      <w:r w:rsidR="00AD1EC3" w:rsidRPr="4A808F24">
        <w:rPr>
          <w:highlight w:val="white"/>
        </w:rPr>
        <w:t xml:space="preserve"> understand the effectiveness of the Red Balloon programme in addressing the social and emotional needs of the individual as well as the academic.</w:t>
      </w:r>
    </w:p>
    <w:p w14:paraId="753C6B91" w14:textId="77777777" w:rsidR="00751ACD" w:rsidRDefault="00AD1EC3" w:rsidP="00CB4DB4">
      <w:pPr>
        <w:pStyle w:val="Para1"/>
      </w:pPr>
      <w:r>
        <w:t>Scope</w:t>
      </w:r>
    </w:p>
    <w:p w14:paraId="29F781E7" w14:textId="6B032911" w:rsidR="00751ACD" w:rsidRDefault="00AD1EC3" w:rsidP="00CB4DB4">
      <w:pPr>
        <w:widowControl w:val="0"/>
        <w:spacing w:before="120"/>
        <w:ind w:right="-206"/>
        <w:rPr>
          <w:sz w:val="20"/>
          <w:szCs w:val="20"/>
        </w:rPr>
      </w:pPr>
      <w:r>
        <w:rPr>
          <w:highlight w:val="white"/>
        </w:rPr>
        <w:t xml:space="preserve">The Head of Centre is responsible for ensuring that all staff are aware of existing assessment policy and contribute to its development: the daily responsibility for ensuring high quality practice may be delegated and each teacher is responsible for ensuring the quality of their own practice.  </w:t>
      </w:r>
    </w:p>
    <w:p w14:paraId="71B4FE64" w14:textId="77777777" w:rsidR="00751ACD" w:rsidRDefault="00AD1EC3" w:rsidP="00CB4DB4">
      <w:pPr>
        <w:pStyle w:val="Para1"/>
      </w:pPr>
      <w:r>
        <w:t>Policy statement, provision and safeguards</w:t>
      </w:r>
    </w:p>
    <w:p w14:paraId="01419098" w14:textId="3E329A05" w:rsidR="00751ACD" w:rsidRDefault="01BD4506" w:rsidP="00CB4DB4">
      <w:pPr>
        <w:shd w:val="clear" w:color="auto" w:fill="FFFFFF" w:themeFill="background1"/>
        <w:spacing w:before="120"/>
        <w:ind w:right="320"/>
      </w:pPr>
      <w:r>
        <w:t>RBET-Aylesbury</w:t>
      </w:r>
      <w:r w:rsidR="00AD1EC3">
        <w:t xml:space="preserve"> works continually to develop tracking </w:t>
      </w:r>
      <w:r w:rsidR="00CB4DB4">
        <w:t>and</w:t>
      </w:r>
      <w:r w:rsidR="00AD1EC3">
        <w:t xml:space="preserve"> monitoring systems that will better inform student progress.   </w:t>
      </w:r>
    </w:p>
    <w:p w14:paraId="4B54BB7C" w14:textId="77777777" w:rsidR="00751ACD" w:rsidRDefault="00AD1EC3" w:rsidP="00CB4DB4">
      <w:pPr>
        <w:shd w:val="clear" w:color="auto" w:fill="FFFFFF"/>
        <w:spacing w:before="120"/>
        <w:ind w:right="320"/>
      </w:pPr>
      <w:r>
        <w:t xml:space="preserve">Our intention is to monitor individual student progress against projected outcomes grounded in:  </w:t>
      </w:r>
    </w:p>
    <w:p w14:paraId="0CA95A98" w14:textId="77777777" w:rsidR="00751ACD" w:rsidRDefault="00AD1EC3" w:rsidP="002C41E9">
      <w:pPr>
        <w:numPr>
          <w:ilvl w:val="0"/>
          <w:numId w:val="8"/>
        </w:numPr>
        <w:spacing w:before="120"/>
        <w:ind w:left="714" w:hanging="357"/>
        <w:rPr>
          <w:sz w:val="20"/>
          <w:szCs w:val="20"/>
        </w:rPr>
      </w:pPr>
      <w:r>
        <w:t xml:space="preserve">information from previous providers – to include KS2 outcomes where available;  </w:t>
      </w:r>
    </w:p>
    <w:p w14:paraId="5805304A" w14:textId="68E64E2D" w:rsidR="00751ACD" w:rsidRDefault="00AD1EC3" w:rsidP="002C41E9">
      <w:pPr>
        <w:numPr>
          <w:ilvl w:val="0"/>
          <w:numId w:val="8"/>
        </w:numPr>
        <w:spacing w:before="120"/>
        <w:ind w:left="714" w:hanging="357"/>
        <w:contextualSpacing/>
        <w:rPr>
          <w:sz w:val="20"/>
          <w:szCs w:val="20"/>
        </w:rPr>
      </w:pPr>
      <w:r>
        <w:t xml:space="preserve">baseline assessments carried out upon admission to </w:t>
      </w:r>
      <w:r w:rsidR="00CB4DB4">
        <w:t>the</w:t>
      </w:r>
      <w:r>
        <w:t xml:space="preserve"> Centre;  </w:t>
      </w:r>
    </w:p>
    <w:p w14:paraId="5A1A7421" w14:textId="22BC08CA" w:rsidR="00751ACD" w:rsidRDefault="00AD1EC3" w:rsidP="002C41E9">
      <w:pPr>
        <w:numPr>
          <w:ilvl w:val="0"/>
          <w:numId w:val="8"/>
        </w:numPr>
        <w:spacing w:before="120"/>
        <w:ind w:left="714" w:hanging="357"/>
        <w:contextualSpacing/>
        <w:rPr>
          <w:sz w:val="20"/>
          <w:szCs w:val="20"/>
        </w:rPr>
      </w:pPr>
      <w:r>
        <w:t>assessment of the impact upon progress of either non</w:t>
      </w:r>
      <w:r w:rsidR="00CB4DB4">
        <w:t>-</w:t>
      </w:r>
      <w:r>
        <w:t xml:space="preserve">school attendance or mental health issues that may have preceded referral to the Centre. </w:t>
      </w:r>
    </w:p>
    <w:p w14:paraId="663734CF" w14:textId="77777777" w:rsidR="00751ACD" w:rsidRDefault="00AD1EC3" w:rsidP="00CB4DB4">
      <w:pPr>
        <w:pStyle w:val="Para1"/>
      </w:pPr>
      <w:r>
        <w:t>Assessment for a purpose</w:t>
      </w:r>
      <w:r>
        <w:rPr>
          <w:sz w:val="26"/>
          <w:szCs w:val="26"/>
        </w:rPr>
        <w:t xml:space="preserve">  </w:t>
      </w:r>
    </w:p>
    <w:p w14:paraId="4D21994D" w14:textId="77777777" w:rsidR="00751ACD" w:rsidRDefault="00AD1EC3" w:rsidP="00CB4DB4">
      <w:pPr>
        <w:shd w:val="clear" w:color="auto" w:fill="FFFFFF"/>
        <w:spacing w:before="120"/>
        <w:ind w:right="320"/>
      </w:pPr>
      <w:r>
        <w:t xml:space="preserve">Assessment should be an ongoing process for teacher and learner and will be intuitive and internalised during much of the learning process.   </w:t>
      </w:r>
    </w:p>
    <w:p w14:paraId="1D030D32" w14:textId="078C7AD6" w:rsidR="00751ACD" w:rsidRDefault="01BD4506" w:rsidP="00CB4DB4">
      <w:pPr>
        <w:shd w:val="clear" w:color="auto" w:fill="FFFFFF" w:themeFill="background1"/>
        <w:spacing w:before="120"/>
        <w:ind w:right="320"/>
      </w:pPr>
      <w:r>
        <w:t>RBET-Aylesbury</w:t>
      </w:r>
      <w:r w:rsidR="00AD1EC3">
        <w:t xml:space="preserve"> will assess student attainment at point of entry to </w:t>
      </w:r>
      <w:r w:rsidR="00CB4DB4">
        <w:t>the</w:t>
      </w:r>
      <w:r w:rsidR="00AD1EC3">
        <w:t xml:space="preserve"> Centre, identify learning (academic and wellbeing) targets, track progress against those targets and provide informative data to receiving schools or establishments when students transfer.  </w:t>
      </w:r>
    </w:p>
    <w:p w14:paraId="191DF20F" w14:textId="78A6DD8F" w:rsidR="00751ACD" w:rsidRDefault="01BD4506" w:rsidP="00CB4DB4">
      <w:pPr>
        <w:shd w:val="clear" w:color="auto" w:fill="FFFFFF" w:themeFill="background1"/>
        <w:spacing w:before="120"/>
        <w:ind w:right="320"/>
      </w:pPr>
      <w:r>
        <w:t>RBET-Aylesbury</w:t>
      </w:r>
      <w:r w:rsidR="00AD1EC3">
        <w:t xml:space="preserve"> will assess student progress in four main ways.  </w:t>
      </w:r>
    </w:p>
    <w:p w14:paraId="2CDBFA73" w14:textId="4BEE4EBE" w:rsidR="00751ACD" w:rsidRDefault="00AD1EC3" w:rsidP="00CB4DB4">
      <w:pPr>
        <w:numPr>
          <w:ilvl w:val="0"/>
          <w:numId w:val="3"/>
        </w:numPr>
        <w:spacing w:before="120"/>
        <w:rPr>
          <w:sz w:val="20"/>
          <w:szCs w:val="20"/>
        </w:rPr>
      </w:pPr>
      <w:r>
        <w:t>Staff, together with commissioning agents, parents/carers, the student and other involved agencies, will determine intended outcomes (i</w:t>
      </w:r>
      <w:r w:rsidR="00CB4DB4">
        <w:t>.</w:t>
      </w:r>
      <w:r>
        <w:t>e</w:t>
      </w:r>
      <w:r w:rsidR="00CB4DB4">
        <w:t>.</w:t>
      </w:r>
      <w:r>
        <w:t xml:space="preserve"> the purpose of the placement). Most usually one of the intended outcomes will be identification of the next placement (e.g. return to mainstream for KS4, sixth form or further education college at year 12). Progress against intended outcomes will be monitored through twice-yearly review.  </w:t>
      </w:r>
    </w:p>
    <w:p w14:paraId="0E23CED2" w14:textId="5E0D756D" w:rsidR="00751ACD" w:rsidRDefault="00AD1EC3" w:rsidP="00CB4DB4">
      <w:pPr>
        <w:numPr>
          <w:ilvl w:val="0"/>
          <w:numId w:val="6"/>
        </w:numPr>
        <w:spacing w:before="120"/>
        <w:rPr>
          <w:sz w:val="20"/>
          <w:szCs w:val="20"/>
        </w:rPr>
      </w:pPr>
      <w:r>
        <w:t xml:space="preserve">Staff will assess academic attainment in core subjects (maths, English and science) at point of entry. These assessments will be based upon a mixture of information received from previous educational providers, normative and diagnostic testing and teacher observations and assessment. If any student is identified as requiring a literacy or numeracy ‘intervention’ / ‘catch up’ programme, then that will be </w:t>
      </w:r>
      <w:proofErr w:type="gramStart"/>
      <w:r>
        <w:t>provided</w:t>
      </w:r>
      <w:proofErr w:type="gramEnd"/>
      <w:r>
        <w:t xml:space="preserve"> </w:t>
      </w:r>
      <w:r>
        <w:lastRenderedPageBreak/>
        <w:t xml:space="preserve">and progress monitored. Progress within the three core subjects will be monitored </w:t>
      </w:r>
      <w:proofErr w:type="gramStart"/>
      <w:r>
        <w:t>by the use of</w:t>
      </w:r>
      <w:proofErr w:type="gramEnd"/>
      <w:r>
        <w:t xml:space="preserve"> age</w:t>
      </w:r>
      <w:r w:rsidR="00CB4DB4">
        <w:t>-</w:t>
      </w:r>
      <w:r>
        <w:t xml:space="preserve">appropriate levels and against projected GCSE outcomes  </w:t>
      </w:r>
    </w:p>
    <w:p w14:paraId="0EC1F4E1" w14:textId="5E66D60E" w:rsidR="00751ACD" w:rsidRDefault="00AD1EC3" w:rsidP="00CB4DB4">
      <w:pPr>
        <w:numPr>
          <w:ilvl w:val="0"/>
          <w:numId w:val="9"/>
        </w:numPr>
        <w:spacing w:before="120"/>
        <w:rPr>
          <w:sz w:val="20"/>
          <w:szCs w:val="20"/>
        </w:rPr>
      </w:pPr>
      <w:r>
        <w:t>In the broader curriculum areas (technical, human and social, aesthetic and creative and physical) staff will map the curriculum and monitor progress through age</w:t>
      </w:r>
      <w:r w:rsidR="00CB4DB4">
        <w:t>-</w:t>
      </w:r>
      <w:r>
        <w:t xml:space="preserve">appropriate levels.  </w:t>
      </w:r>
    </w:p>
    <w:p w14:paraId="41DC241F" w14:textId="46F84622" w:rsidR="00751ACD" w:rsidRDefault="00AD1EC3" w:rsidP="00CB4DB4">
      <w:pPr>
        <w:numPr>
          <w:ilvl w:val="0"/>
          <w:numId w:val="2"/>
        </w:numPr>
        <w:spacing w:before="120"/>
        <w:rPr>
          <w:sz w:val="20"/>
          <w:szCs w:val="20"/>
        </w:rPr>
      </w:pPr>
      <w:r>
        <w:t xml:space="preserve">Given that all students referred to </w:t>
      </w:r>
      <w:r w:rsidR="01BD4506">
        <w:t>RBET-Aylesbury</w:t>
      </w:r>
      <w:r>
        <w:t xml:space="preserve"> will have met difficulties in engaging with learning, usually </w:t>
      </w:r>
      <w:proofErr w:type="gramStart"/>
      <w:r>
        <w:t>as a result of</w:t>
      </w:r>
      <w:proofErr w:type="gramEnd"/>
      <w:r>
        <w:t xml:space="preserve"> some trauma that they have experienced, it is essential that we know and evaluate how effectively our wellbeing provision enables students to re-engage effectively with learning. To that end </w:t>
      </w:r>
      <w:r w:rsidR="01BD4506">
        <w:t>RBET-Aylesbury</w:t>
      </w:r>
      <w:r>
        <w:t xml:space="preserve"> has developed tracking systems that monitor wellbeing progress.   </w:t>
      </w:r>
    </w:p>
    <w:p w14:paraId="35627E92" w14:textId="77777777" w:rsidR="00751ACD" w:rsidRDefault="00AD1EC3" w:rsidP="00CB4DB4">
      <w:pPr>
        <w:numPr>
          <w:ilvl w:val="0"/>
          <w:numId w:val="2"/>
        </w:numPr>
        <w:spacing w:before="120"/>
      </w:pPr>
      <w:r>
        <w:t xml:space="preserve">Feedback to students will be regular and personalised. It may take the form of immediate verbal feedback or reflective written feedback. </w:t>
      </w:r>
    </w:p>
    <w:p w14:paraId="1E9E818E" w14:textId="77777777" w:rsidR="00751ACD" w:rsidRDefault="00AD1EC3" w:rsidP="00CB4DB4">
      <w:pPr>
        <w:shd w:val="clear" w:color="auto" w:fill="FFFFFF"/>
        <w:spacing w:before="120"/>
        <w:ind w:right="300"/>
        <w:jc w:val="right"/>
        <w:rPr>
          <w:sz w:val="14"/>
          <w:szCs w:val="14"/>
        </w:rPr>
      </w:pPr>
      <w:r>
        <w:rPr>
          <w:sz w:val="14"/>
          <w:szCs w:val="14"/>
        </w:rPr>
        <w:t xml:space="preserve">  </w:t>
      </w:r>
    </w:p>
    <w:p w14:paraId="41DCE83F" w14:textId="73D8403B" w:rsidR="00751ACD" w:rsidRDefault="00AD1EC3" w:rsidP="00CB4DB4">
      <w:pPr>
        <w:shd w:val="clear" w:color="auto" w:fill="FFFFFF" w:themeFill="background1"/>
        <w:spacing w:before="120"/>
        <w:ind w:right="320"/>
      </w:pPr>
      <w:r>
        <w:t>NB</w:t>
      </w:r>
      <w:r w:rsidR="00CB4DB4">
        <w:t>.</w:t>
      </w:r>
      <w:r>
        <w:t xml:space="preserve"> </w:t>
      </w:r>
      <w:r w:rsidR="01BD4506">
        <w:t>RBET-Aylesbury</w:t>
      </w:r>
      <w:r>
        <w:t xml:space="preserve"> will work with local schools as appropriate and may adopt some of their</w:t>
      </w:r>
      <w:r w:rsidR="00CB4DB4">
        <w:t xml:space="preserve"> </w:t>
      </w:r>
      <w:r>
        <w:t xml:space="preserve">assessment tools if they seem likely to add to the pertinent data that can be generated.  </w:t>
      </w:r>
    </w:p>
    <w:p w14:paraId="52C6938D" w14:textId="77777777" w:rsidR="00751ACD" w:rsidRDefault="00AD1EC3" w:rsidP="00CB4DB4">
      <w:pPr>
        <w:shd w:val="clear" w:color="auto" w:fill="FFFFFF"/>
        <w:spacing w:before="120"/>
        <w:ind w:right="320"/>
      </w:pPr>
      <w:r>
        <w:t xml:space="preserve">The information generated through the tracking of progress will be used:  </w:t>
      </w:r>
    </w:p>
    <w:p w14:paraId="271759D2" w14:textId="77777777" w:rsidR="00751ACD" w:rsidRDefault="00AD1EC3" w:rsidP="00CB4DB4">
      <w:pPr>
        <w:numPr>
          <w:ilvl w:val="0"/>
          <w:numId w:val="5"/>
        </w:numPr>
        <w:spacing w:before="120"/>
        <w:ind w:left="1100"/>
        <w:rPr>
          <w:sz w:val="20"/>
          <w:szCs w:val="20"/>
        </w:rPr>
      </w:pPr>
      <w:r>
        <w:t xml:space="preserve">with each student to plan effective further provision;  </w:t>
      </w:r>
    </w:p>
    <w:p w14:paraId="45DD9FB6" w14:textId="7E00B02D" w:rsidR="00751ACD" w:rsidRDefault="00AD1EC3" w:rsidP="007E2828">
      <w:pPr>
        <w:numPr>
          <w:ilvl w:val="0"/>
          <w:numId w:val="5"/>
        </w:numPr>
        <w:ind w:left="1100"/>
        <w:rPr>
          <w:sz w:val="20"/>
          <w:szCs w:val="20"/>
        </w:rPr>
      </w:pPr>
      <w:r>
        <w:t xml:space="preserve">as part of ongoing management conversations about the quality of </w:t>
      </w:r>
      <w:r w:rsidR="01BD4506">
        <w:t>RBET-Aylesbury</w:t>
      </w:r>
      <w:r>
        <w:t xml:space="preserve"> provision and ways in which we might improve practice.  </w:t>
      </w:r>
    </w:p>
    <w:p w14:paraId="06A42F9D" w14:textId="77777777" w:rsidR="00751ACD" w:rsidRDefault="00AD1EC3" w:rsidP="00CB4DB4">
      <w:pPr>
        <w:shd w:val="clear" w:color="auto" w:fill="FFFFFF"/>
        <w:spacing w:before="120"/>
        <w:ind w:left="20" w:right="300"/>
      </w:pPr>
      <w:r>
        <w:rPr>
          <w:i/>
        </w:rPr>
        <w:t xml:space="preserve">It is essential that all staff remain mindful of the impact of a student’s emotional state upon their </w:t>
      </w:r>
      <w:proofErr w:type="gramStart"/>
      <w:r>
        <w:rPr>
          <w:i/>
        </w:rPr>
        <w:t>learning, and</w:t>
      </w:r>
      <w:proofErr w:type="gramEnd"/>
      <w:r>
        <w:rPr>
          <w:i/>
        </w:rPr>
        <w:t xml:space="preserve"> acknowledge that learning that has been deemed to be mastered may be negatively affected (to the point of being forgotten / unlearned) during periods of emotional stress and may, therefore, require re-learning. </w:t>
      </w:r>
      <w:r>
        <w:t xml:space="preserve">  </w:t>
      </w:r>
    </w:p>
    <w:p w14:paraId="54F4BE1C" w14:textId="77777777" w:rsidR="00751ACD" w:rsidRDefault="00AD1EC3" w:rsidP="00CB4DB4">
      <w:pPr>
        <w:pStyle w:val="Para1"/>
      </w:pPr>
      <w:r>
        <w:t xml:space="preserve">Working with SEND students  </w:t>
      </w:r>
    </w:p>
    <w:p w14:paraId="1D61DB2E" w14:textId="523C2C55" w:rsidR="00751ACD" w:rsidRDefault="00AD1EC3" w:rsidP="00CB4DB4">
      <w:pPr>
        <w:shd w:val="clear" w:color="auto" w:fill="FFFFFF" w:themeFill="background1"/>
        <w:spacing w:before="120"/>
        <w:ind w:right="320"/>
      </w:pPr>
      <w:r>
        <w:t xml:space="preserve">Given the bespoke nature of all </w:t>
      </w:r>
      <w:r w:rsidR="01BD4506">
        <w:t>RBET-Aylesbury</w:t>
      </w:r>
      <w:r>
        <w:t xml:space="preserve"> assessment work, there should be no major difference in the assessment processes undertaken with students with EHC plans, but the Head of Centre must ensure that:  </w:t>
      </w:r>
    </w:p>
    <w:p w14:paraId="4E2232BA" w14:textId="6EB8576B" w:rsidR="00751ACD" w:rsidRDefault="00AD1EC3" w:rsidP="00CB4DB4">
      <w:pPr>
        <w:numPr>
          <w:ilvl w:val="0"/>
          <w:numId w:val="4"/>
        </w:numPr>
        <w:spacing w:before="120"/>
        <w:ind w:left="1100"/>
        <w:rPr>
          <w:sz w:val="20"/>
          <w:szCs w:val="20"/>
        </w:rPr>
      </w:pPr>
      <w:r>
        <w:t>appropriate referral procedures have been followed</w:t>
      </w:r>
      <w:r w:rsidR="00CB4DB4">
        <w:t>,</w:t>
      </w:r>
      <w:r>
        <w:t xml:space="preserve"> including a clear assessment of whether we are able to meet all identified educational needs;  </w:t>
      </w:r>
    </w:p>
    <w:p w14:paraId="1100DA32" w14:textId="2ED5F7BF" w:rsidR="00751ACD" w:rsidRDefault="00AD1EC3" w:rsidP="007E2828">
      <w:pPr>
        <w:numPr>
          <w:ilvl w:val="0"/>
          <w:numId w:val="4"/>
        </w:numPr>
        <w:ind w:left="1100"/>
        <w:rPr>
          <w:sz w:val="20"/>
          <w:szCs w:val="20"/>
        </w:rPr>
      </w:pPr>
      <w:r>
        <w:t>an up</w:t>
      </w:r>
      <w:r w:rsidR="006F3E63">
        <w:t>-</w:t>
      </w:r>
      <w:r>
        <w:t>to</w:t>
      </w:r>
      <w:r w:rsidR="006F3E63">
        <w:t>-</w:t>
      </w:r>
      <w:r>
        <w:t xml:space="preserve">date version of the student’s EHC plan is received and </w:t>
      </w:r>
      <w:proofErr w:type="gramStart"/>
      <w:r>
        <w:t>filed</w:t>
      </w:r>
      <w:proofErr w:type="gramEnd"/>
      <w:r>
        <w:t xml:space="preserve"> and relevant information made available to all staff;  </w:t>
      </w:r>
    </w:p>
    <w:p w14:paraId="68BF74B9" w14:textId="77777777" w:rsidR="00751ACD" w:rsidRDefault="00AD1EC3" w:rsidP="007E2828">
      <w:pPr>
        <w:numPr>
          <w:ilvl w:val="0"/>
          <w:numId w:val="4"/>
        </w:numPr>
        <w:ind w:left="1100"/>
        <w:rPr>
          <w:sz w:val="20"/>
          <w:szCs w:val="20"/>
        </w:rPr>
      </w:pPr>
      <w:r>
        <w:t xml:space="preserve">formal reviews of progress are undertaken at required intervals - representatives from the SEND department of the local authority must be invited, and a record of the meeting made and shared with all relevant agencies – there must be a formal review at least annually.  </w:t>
      </w:r>
    </w:p>
    <w:p w14:paraId="391F923E" w14:textId="6F639314" w:rsidR="00CB4DB4" w:rsidRPr="006F3E63" w:rsidRDefault="00AD1EC3" w:rsidP="007E2828">
      <w:pPr>
        <w:shd w:val="clear" w:color="auto" w:fill="FFFFFF"/>
        <w:tabs>
          <w:tab w:val="left" w:pos="9029"/>
        </w:tabs>
        <w:spacing w:before="120"/>
        <w:ind w:right="-185"/>
        <w:rPr>
          <w:b/>
        </w:rPr>
      </w:pPr>
      <w:r>
        <w:t xml:space="preserve">The SENCo has responsibility for ensuring that the needs of SEND students are well met.  </w:t>
      </w:r>
    </w:p>
    <w:p w14:paraId="336B73B8" w14:textId="36320CBD" w:rsidR="00751ACD" w:rsidRDefault="00AD1EC3" w:rsidP="00CB4DB4">
      <w:pPr>
        <w:pStyle w:val="Para1"/>
      </w:pPr>
      <w:r>
        <w:t xml:space="preserve">Legislation / guidance that informs this document  </w:t>
      </w:r>
    </w:p>
    <w:p w14:paraId="3C433A80" w14:textId="0CC40967" w:rsidR="00751ACD" w:rsidRDefault="00AD1EC3" w:rsidP="00CB4DB4">
      <w:pPr>
        <w:widowControl w:val="0"/>
        <w:shd w:val="clear" w:color="auto" w:fill="FFFFFF"/>
        <w:spacing w:before="120"/>
        <w:jc w:val="center"/>
      </w:pPr>
      <w:r>
        <w:t>●</w:t>
      </w:r>
      <w:r>
        <w:rPr>
          <w:rFonts w:ascii="Calibri" w:eastAsia="Calibri" w:hAnsi="Calibri" w:cs="Calibri"/>
        </w:rPr>
        <w:tab/>
      </w:r>
      <w:hyperlink r:id="rId12">
        <w:r>
          <w:t>National Curriculum and Assessment from September 2014</w:t>
        </w:r>
      </w:hyperlink>
      <w:r>
        <w:t xml:space="preserve">​ (Gov.uk) </w:t>
      </w:r>
    </w:p>
    <w:p w14:paraId="7A282679" w14:textId="55B8069A" w:rsidR="00751ACD" w:rsidRDefault="00AD1EC3" w:rsidP="006F3E63">
      <w:pPr>
        <w:pStyle w:val="Para1"/>
      </w:pPr>
      <w:r>
        <w:t xml:space="preserve">Other </w:t>
      </w:r>
      <w:r w:rsidR="01BD4506">
        <w:t>RBET-Aylesbury</w:t>
      </w:r>
      <w:r>
        <w:t xml:space="preserve"> policies that should be read in conjunction with this one  </w:t>
      </w:r>
    </w:p>
    <w:p w14:paraId="7158F853" w14:textId="77777777" w:rsidR="00751ACD" w:rsidRDefault="00AD1EC3" w:rsidP="00CB4DB4">
      <w:pPr>
        <w:widowControl w:val="0"/>
        <w:numPr>
          <w:ilvl w:val="0"/>
          <w:numId w:val="7"/>
        </w:numPr>
        <w:spacing w:before="120"/>
        <w:ind w:left="1100"/>
        <w:rPr>
          <w:sz w:val="20"/>
          <w:szCs w:val="20"/>
        </w:rPr>
      </w:pPr>
      <w:r>
        <w:t xml:space="preserve">Curriculum   </w:t>
      </w:r>
    </w:p>
    <w:p w14:paraId="7D3B7877" w14:textId="77777777" w:rsidR="00751ACD" w:rsidRDefault="00AD1EC3" w:rsidP="00CB4DB4">
      <w:pPr>
        <w:widowControl w:val="0"/>
        <w:numPr>
          <w:ilvl w:val="0"/>
          <w:numId w:val="7"/>
        </w:numPr>
        <w:spacing w:before="120"/>
        <w:ind w:left="1100"/>
        <w:rPr>
          <w:sz w:val="20"/>
          <w:szCs w:val="20"/>
        </w:rPr>
      </w:pPr>
      <w:r>
        <w:t xml:space="preserve">Marking   </w:t>
      </w:r>
    </w:p>
    <w:sectPr w:rsidR="00751ACD" w:rsidSect="006F3E63">
      <w:footerReference w:type="even" r:id="rId13"/>
      <w:footerReference w:type="default" r:id="rId14"/>
      <w:pgSz w:w="11909" w:h="16834"/>
      <w:pgMar w:top="1048" w:right="1440" w:bottom="1139"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DF7C" w14:textId="77777777" w:rsidR="00BF7811" w:rsidRDefault="00BF7811" w:rsidP="006F3E63">
      <w:pPr>
        <w:spacing w:line="240" w:lineRule="auto"/>
      </w:pPr>
      <w:r>
        <w:separator/>
      </w:r>
    </w:p>
  </w:endnote>
  <w:endnote w:type="continuationSeparator" w:id="0">
    <w:p w14:paraId="0D8C2CB6" w14:textId="77777777" w:rsidR="00BF7811" w:rsidRDefault="00BF7811" w:rsidP="006F3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4489981"/>
      <w:docPartObj>
        <w:docPartGallery w:val="Page Numbers (Bottom of Page)"/>
        <w:docPartUnique/>
      </w:docPartObj>
    </w:sdtPr>
    <w:sdtContent>
      <w:p w14:paraId="2EB17A2A" w14:textId="7C0B0CFD" w:rsidR="006F3E63" w:rsidRDefault="006F3E63" w:rsidP="00120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A8CC46" w14:textId="77777777" w:rsidR="006F3E63" w:rsidRDefault="006F3E63" w:rsidP="006F3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3454326"/>
      <w:docPartObj>
        <w:docPartGallery w:val="Page Numbers (Bottom of Page)"/>
        <w:docPartUnique/>
      </w:docPartObj>
    </w:sdtPr>
    <w:sdtContent>
      <w:p w14:paraId="1A3311FE" w14:textId="3C10E1BE" w:rsidR="006F3E63" w:rsidRDefault="006F3E63" w:rsidP="00120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1D6833" w14:textId="77777777" w:rsidR="006F3E63" w:rsidRDefault="006F3E63" w:rsidP="006F3E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092D" w14:textId="77777777" w:rsidR="00BF7811" w:rsidRDefault="00BF7811" w:rsidP="006F3E63">
      <w:pPr>
        <w:spacing w:line="240" w:lineRule="auto"/>
      </w:pPr>
      <w:r>
        <w:separator/>
      </w:r>
    </w:p>
  </w:footnote>
  <w:footnote w:type="continuationSeparator" w:id="0">
    <w:p w14:paraId="09C39E26" w14:textId="77777777" w:rsidR="00BF7811" w:rsidRDefault="00BF7811" w:rsidP="006F3E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E2A"/>
    <w:multiLevelType w:val="multilevel"/>
    <w:tmpl w:val="3D9E319A"/>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8064396"/>
    <w:multiLevelType w:val="multilevel"/>
    <w:tmpl w:val="3756449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9C7E70"/>
    <w:multiLevelType w:val="multilevel"/>
    <w:tmpl w:val="81784FBE"/>
    <w:lvl w:ilvl="0">
      <w:start w:val="1"/>
      <w:numFmt w:val="bullet"/>
      <w:pStyle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E42A56"/>
    <w:multiLevelType w:val="multilevel"/>
    <w:tmpl w:val="D33639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437E1E"/>
    <w:multiLevelType w:val="multilevel"/>
    <w:tmpl w:val="0EA41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CA6362"/>
    <w:multiLevelType w:val="multilevel"/>
    <w:tmpl w:val="F864E01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25A64E0"/>
    <w:multiLevelType w:val="multilevel"/>
    <w:tmpl w:val="7B5269F6"/>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3893D8B"/>
    <w:multiLevelType w:val="multilevel"/>
    <w:tmpl w:val="6556EDAA"/>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9692701"/>
    <w:multiLevelType w:val="multilevel"/>
    <w:tmpl w:val="0450C0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2047058">
    <w:abstractNumId w:val="4"/>
  </w:num>
  <w:num w:numId="2" w16cid:durableId="722562087">
    <w:abstractNumId w:val="7"/>
  </w:num>
  <w:num w:numId="3" w16cid:durableId="30690180">
    <w:abstractNumId w:val="5"/>
  </w:num>
  <w:num w:numId="4" w16cid:durableId="2076856525">
    <w:abstractNumId w:val="8"/>
  </w:num>
  <w:num w:numId="5" w16cid:durableId="48189861">
    <w:abstractNumId w:val="3"/>
  </w:num>
  <w:num w:numId="6" w16cid:durableId="34164272">
    <w:abstractNumId w:val="6"/>
  </w:num>
  <w:num w:numId="7" w16cid:durableId="708258196">
    <w:abstractNumId w:val="1"/>
  </w:num>
  <w:num w:numId="8" w16cid:durableId="1416053986">
    <w:abstractNumId w:val="2"/>
  </w:num>
  <w:num w:numId="9" w16cid:durableId="172382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CD"/>
    <w:rsid w:val="002C41E9"/>
    <w:rsid w:val="004C4EAD"/>
    <w:rsid w:val="006F3E63"/>
    <w:rsid w:val="00751ACD"/>
    <w:rsid w:val="007E2828"/>
    <w:rsid w:val="00880035"/>
    <w:rsid w:val="00AD1EC3"/>
    <w:rsid w:val="00BF7811"/>
    <w:rsid w:val="00CB4DB4"/>
    <w:rsid w:val="00E05786"/>
    <w:rsid w:val="01B45A53"/>
    <w:rsid w:val="01BD4506"/>
    <w:rsid w:val="01F487D2"/>
    <w:rsid w:val="026D476C"/>
    <w:rsid w:val="19186AFF"/>
    <w:rsid w:val="223B0F31"/>
    <w:rsid w:val="3129D7F8"/>
    <w:rsid w:val="391AE6FB"/>
    <w:rsid w:val="4A808F24"/>
    <w:rsid w:val="6A3E6242"/>
    <w:rsid w:val="76C3909D"/>
    <w:rsid w:val="77D4B382"/>
    <w:rsid w:val="79AD5A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B080"/>
  <w15:docId w15:val="{B9514A4A-D8CA-46E5-BC0B-BC72AFA4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DB4"/>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Para1">
    <w:name w:val="Para 1"/>
    <w:basedOn w:val="Normal"/>
    <w:qFormat/>
    <w:rsid w:val="00CB4DB4"/>
    <w:pPr>
      <w:spacing w:before="240" w:after="120"/>
    </w:pPr>
    <w:rPr>
      <w:b/>
    </w:rPr>
  </w:style>
  <w:style w:type="paragraph" w:customStyle="1" w:styleId="bullet">
    <w:name w:val="bullet"/>
    <w:basedOn w:val="Normal"/>
    <w:qFormat/>
    <w:rsid w:val="00CB4DB4"/>
    <w:pPr>
      <w:numPr>
        <w:numId w:val="8"/>
      </w:numPr>
      <w:spacing w:before="120"/>
    </w:pPr>
  </w:style>
  <w:style w:type="paragraph" w:styleId="Footer">
    <w:name w:val="footer"/>
    <w:basedOn w:val="Normal"/>
    <w:link w:val="FooterChar"/>
    <w:uiPriority w:val="99"/>
    <w:unhideWhenUsed/>
    <w:rsid w:val="006F3E63"/>
    <w:pPr>
      <w:tabs>
        <w:tab w:val="center" w:pos="4680"/>
        <w:tab w:val="right" w:pos="9360"/>
      </w:tabs>
      <w:spacing w:line="240" w:lineRule="auto"/>
    </w:pPr>
  </w:style>
  <w:style w:type="character" w:customStyle="1" w:styleId="FooterChar">
    <w:name w:val="Footer Char"/>
    <w:basedOn w:val="DefaultParagraphFont"/>
    <w:link w:val="Footer"/>
    <w:uiPriority w:val="99"/>
    <w:rsid w:val="006F3E63"/>
  </w:style>
  <w:style w:type="character" w:styleId="PageNumber">
    <w:name w:val="page number"/>
    <w:basedOn w:val="DefaultParagraphFont"/>
    <w:uiPriority w:val="99"/>
    <w:semiHidden/>
    <w:unhideWhenUsed/>
    <w:rsid w:val="006F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358070/NC_assessment_quals_factsheet_Sept_updat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b31d69a-9478-4a74-b55a-9187a7a8d264">
      <UserInfo>
        <DisplayName/>
        <AccountId xsi:nil="true"/>
        <AccountType/>
      </UserInfo>
    </SharedWithUsers>
    <TaxCatchAll xmlns="cb31d69a-9478-4a74-b55a-9187a7a8d264" xsi:nil="true"/>
    <lcf76f155ced4ddcb4097134ff3c332f xmlns="e37d5b03-ee2d-4a8c-98ff-300bd74a6b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A7865-FCD5-4C31-AC18-585BF161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9E041-8C43-C346-B3E9-EC754BE0A49C}">
  <ds:schemaRefs>
    <ds:schemaRef ds:uri="http://schemas.openxmlformats.org/officeDocument/2006/bibliography"/>
  </ds:schemaRefs>
</ds:datastoreItem>
</file>

<file path=customXml/itemProps3.xml><?xml version="1.0" encoding="utf-8"?>
<ds:datastoreItem xmlns:ds="http://schemas.openxmlformats.org/officeDocument/2006/customXml" ds:itemID="{4B6EF21E-A4E0-4EF9-A0CE-0B962384A5A7}">
  <ds:schemaRefs>
    <ds:schemaRef ds:uri="http://schemas.microsoft.com/office/2006/metadata/properties"/>
    <ds:schemaRef ds:uri="http://schemas.microsoft.com/office/infopath/2007/PartnerControls"/>
    <ds:schemaRef ds:uri="cb31d69a-9478-4a74-b55a-9187a7a8d264"/>
    <ds:schemaRef ds:uri="e37d5b03-ee2d-4a8c-98ff-300bd74a6b98"/>
  </ds:schemaRefs>
</ds:datastoreItem>
</file>

<file path=customXml/itemProps4.xml><?xml version="1.0" encoding="utf-8"?>
<ds:datastoreItem xmlns:ds="http://schemas.openxmlformats.org/officeDocument/2006/customXml" ds:itemID="{935AE7F6-A317-4798-BDD7-72F5431DC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Assessment Policy</dc:title>
  <dc:creator>Ally McGuinness</dc:creator>
  <cp:lastModifiedBy>Ruth Loshak</cp:lastModifiedBy>
  <cp:revision>9</cp:revision>
  <dcterms:created xsi:type="dcterms:W3CDTF">2024-05-29T17:00:00Z</dcterms:created>
  <dcterms:modified xsi:type="dcterms:W3CDTF">2024-07-12T12:34:00Z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Order">
    <vt:r8>17200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